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En-ttedetabledesmatires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301977b6e2cc54faf4c7f904cf40641e7bb41ee"/>
    <w:p>
      <w:pPr>
        <w:pStyle w:val="Titre1"/>
      </w:pPr>
      <w:r>
        <w:t xml:space="preserve">Conformité, sécurité et protection des données</w:t>
      </w:r>
    </w:p>
    <w:bookmarkStart w:id="20" w:name="X64d632bd81c2829193e45c6e4147109b7ca00f4"/>
    <w:p>
      <w:pPr>
        <w:pStyle w:val="Titre2"/>
      </w:pPr>
      <w:r>
        <w:t xml:space="preserve">Hébergement papAI / Agentium sur OVHcloud — Dossier ANDRITZ</w:t>
      </w:r>
    </w:p>
    <w:p>
      <w:pPr>
        <w:pStyle w:val="FirstParagraph"/>
      </w:pPr>
      <w:r>
        <w:rPr>
          <w:bCs/>
          <w:b/>
        </w:rPr>
        <w:t xml:space="preserve">Émetteur</w:t>
      </w:r>
      <w:r>
        <w:t xml:space="preserve"> </w:t>
      </w:r>
      <w:r>
        <w:t xml:space="preserve">: Datategy SAS</w:t>
      </w:r>
      <w:r>
        <w:t xml:space="preserve"> </w:t>
      </w:r>
      <w:r>
        <w:rPr>
          <w:bCs/>
          <w:b/>
        </w:rPr>
        <w:t xml:space="preserve">Destinataire</w:t>
      </w:r>
      <w:r>
        <w:t xml:space="preserve"> </w:t>
      </w:r>
      <w:r>
        <w:t xml:space="preserve">: ANDRITZ (équipes Sécurité / Conformité / DPO)</w:t>
      </w:r>
      <w:r>
        <w:t xml:space="preserve"> </w:t>
      </w:r>
      <w:r>
        <w:rPr>
          <w:bCs/>
          <w:b/>
        </w:rPr>
        <w:t xml:space="preserve">Sous-traitant d’hébergement</w:t>
      </w:r>
      <w:r>
        <w:t xml:space="preserve"> </w:t>
      </w:r>
      <w:r>
        <w:t xml:space="preserve">: OVHcloud (OVH SAS)</w:t>
      </w:r>
      <w:r>
        <w:t xml:space="preserve"> </w:t>
      </w:r>
      <w:r>
        <w:rPr>
          <w:bCs/>
          <w:b/>
        </w:rPr>
        <w:t xml:space="preserve">Référentiel structurant</w:t>
      </w:r>
      <w:r>
        <w:t xml:space="preserve"> </w:t>
      </w:r>
      <w:r>
        <w:t xml:space="preserve">: ISO/IEC 27001:2022 (Annexe A — 4 thèmes, 93 mesures)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: avril 2026</w:t>
      </w:r>
    </w:p>
    <w:bookmarkEnd w:id="20"/>
    <w:bookmarkStart w:id="22" w:name="synthèse-exécutive"/>
    <w:p>
      <w:pPr>
        <w:pStyle w:val="Titre2"/>
      </w:pPr>
      <w:r>
        <w:t xml:space="preserve">1. Synthèse exécutive</w:t>
      </w:r>
    </w:p>
    <w:p>
      <w:pPr>
        <w:pStyle w:val="FirstParagraph"/>
      </w:pPr>
      <w:r>
        <w:t xml:space="preserve">Datategy hébergera la plateforme papAI/Agentium destinée à ANDRITZ sur l’infrastructure</w:t>
      </w:r>
      <w:r>
        <w:t xml:space="preserve"> </w:t>
      </w:r>
      <w:r>
        <w:rPr>
          <w:bCs/>
          <w:b/>
        </w:rPr>
        <w:t xml:space="preserve">OVHcloud</w:t>
      </w:r>
      <w:r>
        <w:t xml:space="preserve"> </w:t>
      </w:r>
      <w:r>
        <w:t xml:space="preserve">(datacenters européens, France), via le service</w:t>
      </w:r>
      <w:r>
        <w:t xml:space="preserve"> </w:t>
      </w:r>
      <w:r>
        <w:rPr>
          <w:bCs/>
          <w:b/>
        </w:rPr>
        <w:t xml:space="preserve">OVH Managed Kubernetes Service (MKS)</w:t>
      </w:r>
      <w:r>
        <w:t xml:space="preserve">. La présente note recense, autour du référentiel</w:t>
      </w:r>
      <w:r>
        <w:t xml:space="preserve"> </w:t>
      </w:r>
      <w:r>
        <w:rPr>
          <w:bCs/>
          <w:b/>
        </w:rPr>
        <w:t xml:space="preserve">ISO/IEC 27001:2022</w:t>
      </w:r>
      <w:r>
        <w:t xml:space="preserve">, l’ensemble des mesures techniques et organisationnelles applicables, et identifie les pièces à transmettre à ANDRITZ pour son évaluation de conformité interne.</w:t>
      </w:r>
    </w:p>
    <w:p>
      <w:pPr>
        <w:pStyle w:val="Corpsdetexte"/>
      </w:pPr>
      <w:r>
        <w:t xml:space="preserve">Datategy n’est pas elle-même certifiée ISO/IEC 27001 ; en revanche :</w:t>
      </w:r>
    </w:p>
    <w:p>
      <w:pPr>
        <w:numPr>
          <w:ilvl w:val="0"/>
          <w:numId w:val="1001"/>
        </w:numPr>
        <w:pStyle w:val="Compact"/>
      </w:pPr>
      <w:r>
        <w:t xml:space="preserve">Datategy opère un</w:t>
      </w:r>
      <w:r>
        <w:t xml:space="preserve"> </w:t>
      </w:r>
      <w:r>
        <w:rPr>
          <w:bCs/>
          <w:b/>
        </w:rPr>
        <w:t xml:space="preserve">SMSI</w:t>
      </w:r>
      <w:r>
        <w:t xml:space="preserve"> </w:t>
      </w:r>
      <w:r>
        <w:t xml:space="preserve">(Système de Management de la Sécurité de l’Information) aligné sur les exigences ISO/IEC 27001 et formalisé dans sa</w:t>
      </w:r>
      <w:r>
        <w:t xml:space="preserve"> </w:t>
      </w:r>
      <w:r>
        <w:rPr>
          <w:bCs/>
          <w:b/>
        </w:rPr>
        <w:t xml:space="preserve">PSSI</w:t>
      </w:r>
      <w:r>
        <w:t xml:space="preserve"> </w:t>
      </w:r>
      <w:r>
        <w:t xml:space="preserve">interne (cf. </w:t>
      </w:r>
      <w:r>
        <w:rPr>
          <w:iCs/>
          <w:i/>
        </w:rPr>
        <w:t xml:space="preserve">Plan d’Assurance Sécurité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fiche-pas/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sous-traitant d’hébergement OVHcloud</w:t>
      </w:r>
      <w:r>
        <w:t xml:space="preserve"> </w:t>
      </w:r>
      <w:r>
        <w:t xml:space="preserve">est certifié ISO/IEC 27001, ISO/IEC 27017, ISO/IEC 27018, ISO/IEC 27701, qualifié</w:t>
      </w:r>
      <w:r>
        <w:t xml:space="preserve"> </w:t>
      </w:r>
      <w:r>
        <w:rPr>
          <w:bCs/>
          <w:b/>
        </w:rPr>
        <w:t xml:space="preserve">HDS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SecNumCloud</w:t>
      </w:r>
      <w:r>
        <w:t xml:space="preserve"> </w:t>
      </w:r>
      <w:r>
        <w:t xml:space="preserve">(selon offres), et publie son référentiel de conformité sur</w:t>
      </w:r>
      <w:r>
        <w:t xml:space="preserve"> </w:t>
      </w:r>
      <w:hyperlink r:id="rId21">
        <w:r>
          <w:rPr>
            <w:rStyle w:val="Lienhypertexte"/>
          </w:rPr>
          <w:t xml:space="preserve">ovhcloud.com/fr/compliance/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Le cumul de ces deux niveaux (Datategy + OVHcloud) couvre les exigences de sécurité et de protection des données attendues d’un hébergement professionnel européen.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810"/>
        <w:gridCol w:w="294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Datacenter, infrastructure physique, réseau bas-niveau, hyperviseur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27017, 27018, 27701, HDS, SOC 2 Type II, PCI-DSS, SecNumCloud (offres dédiées)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Kubernetes managé (control plane)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OVHcloud (MKS)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27017, 27018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Plateforme papAI/Agentium (workloads, services d’inférence IA locaux, données applicatives, configuration sécurité)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SMSI Datategy aligné ISO 27001 — PAS, PCA, PRS, RGPD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métier, comptes utilisateurs, paramétrage tenant, contenus soumis à 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sécurité ANDRITZ</w:t>
            </w:r>
          </w:p>
        </w:tc>
      </w:tr>
    </w:tbl>
    <w:bookmarkEnd w:id="22"/>
    <w:bookmarkStart w:id="27" w:name="X98a046a4e2cf16dd960533b4d889ece56076af8"/>
    <w:p>
      <w:pPr>
        <w:pStyle w:val="Titre2"/>
      </w:pPr>
      <w:r>
        <w:t xml:space="preserve">2. Périmètre et modèle de responsabilité partagée</w:t>
      </w:r>
    </w:p>
    <w:bookmarkStart w:id="23" w:name="acteurs-et-rôles-rgpd"/>
    <w:p>
      <w:pPr>
        <w:pStyle w:val="Titre3"/>
      </w:pPr>
      <w:r>
        <w:t xml:space="preserve">2.1 Acteurs et rôles RGPD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de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Détermine finalités et moyens du traitement des données ANDRITZ sur la plateforme.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Sous-traitant</w:t>
            </w:r>
            <w:r>
              <w:t xml:space="preserve"> </w:t>
            </w:r>
            <w:r>
              <w:t xml:space="preserve">(art. 28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 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 et opère papAI/Agentium pour le compte d’ANDRITZ.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Sous-traitant ultérieur</w:t>
            </w:r>
            <w:r>
              <w:t xml:space="preserve"> </w:t>
            </w:r>
            <w:r>
              <w:t xml:space="preserve">(art. 28.4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OVHcloud (OVH SAS)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Fournit l’infrastructure d’hébergement (IaaS/CaaS) sur datacenters européens.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 finaux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Collaborateurs ANDRITZ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Consomment la plateforme via interface web SSO.</w:t>
            </w:r>
          </w:p>
        </w:tc>
      </w:tr>
    </w:tbl>
    <w:bookmarkEnd w:id="23"/>
    <w:bookmarkStart w:id="24" w:name="architecture-dhébergement-ovhcloud"/>
    <w:p>
      <w:pPr>
        <w:pStyle w:val="Titre3"/>
      </w:pPr>
      <w:r>
        <w:t xml:space="preserve">2.2 Architecture d’hébergement OVHcloud</w:t>
      </w:r>
    </w:p>
    <w:p>
      <w:pPr>
        <w:pStyle w:val="FirstParagraph"/>
      </w:pPr>
      <w:r>
        <w:t xml:space="preserve">La plateforme est conteneurisée et déployée via Ansible (réf.</w:t>
      </w:r>
      <w:r>
        <w:t xml:space="preserve"> </w:t>
      </w:r>
      <w:r>
        <w:rPr>
          <w:rStyle w:val="VerbatimChar"/>
        </w:rPr>
        <w:t xml:space="preserve">OPS/ansible/env/prod-ovh-k8s/</w:t>
      </w:r>
      <w:r>
        <w:t xml:space="preserve">) sur un</w:t>
      </w:r>
      <w:r>
        <w:t xml:space="preserve"> </w:t>
      </w:r>
      <w:r>
        <w:rPr>
          <w:bCs/>
          <w:b/>
        </w:rPr>
        <w:t xml:space="preserve">cluster OVH Managed Kubernetes</w:t>
      </w:r>
      <w:r>
        <w:t xml:space="preserve"> </w:t>
      </w:r>
      <w:r>
        <w:t xml:space="preserve">: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de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 Managed Kubernetes Service (MKS) — control plane managé par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Région d’hébergement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Datacenters OVHcloud France (GRA / SBG / RBX) — données stockées en Union européenne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nodes OVH (gamme</w:t>
            </w:r>
            <w:r>
              <w:t xml:space="preserve"> </w:t>
            </w:r>
            <w:r>
              <w:rPr>
                <w:rStyle w:val="VerbatimChar"/>
              </w:rPr>
              <w:t xml:space="preserve">b3-128</w:t>
            </w:r>
            <w:r>
              <w:t xml:space="preserve"> </w:t>
            </w:r>
            <w:r>
              <w:t xml:space="preserve">ou supérieure selon dimensionnement)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Stockage bloc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csi-cinder-high-speed</w:t>
            </w:r>
            <w:r>
              <w:t xml:space="preserve"> </w:t>
            </w:r>
            <w:r>
              <w:t xml:space="preserve">(CSI Cinder OVH, redondé au niveau datacenter)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Stockage 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opéré par Datategy sur volumes Cinder OVH (alternative : Object Storage OVH compatible 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(déploiement managé par Datategy, possibilité de bascule vers OVH Public Cloud Databases)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 privé OVH, ingress unique via Istio Gateway + Load Balancer OVH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Terminaison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+ Let’s Encrypt (TLS 1.2 / 1.3, RSA 2048, SHA-256)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26 (OIDC), fédération SAML/OIDC vers IdP ANDRITZ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Vault (in-cluster)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Domaine de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&lt;tenant&gt;.papai.ai</w:t>
            </w:r>
            <w:r>
              <w:t xml:space="preserve"> </w:t>
            </w:r>
            <w:r>
              <w:t xml:space="preserve">(DNS Datategy) — sous-domaine dédié ANDRITZ négociable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Sauvegardes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 quotidiens chiffrés (Datategy) ; rétention chaude 7 j, hebdo 1 mois, mensuelle 12 mois (cf. PAS §Sauvegarde)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LLM (LLMaaS)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d’inférence</w:t>
            </w:r>
            <w:r>
              <w:t xml:space="preserve"> </w:t>
            </w:r>
            <w:r>
              <w:rPr>
                <w:bCs/>
                <w:b/>
              </w:rPr>
              <w:t xml:space="preserve">vLLM</w:t>
            </w:r>
            <w:r>
              <w:t xml:space="preserve"> </w:t>
            </w:r>
            <w:r>
              <w:t xml:space="preserve">auto-hébergé dans le cluster, endpoint OpenAI-compatible privé ; alternative</w:t>
            </w:r>
            <w:r>
              <w:t xml:space="preserve"> </w:t>
            </w:r>
            <w:r>
              <w:rPr>
                <w:bCs/>
                <w:b/>
              </w:rPr>
              <w:t xml:space="preserve">llama.cpp</w:t>
            </w:r>
            <w:r>
              <w:t xml:space="preserve"> </w:t>
            </w:r>
            <w:r>
              <w:t xml:space="preserve">pour modèles quantifiés CPU/GPU mixte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d’embedding (EMBaaS)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vectoriel auto-hébergé (vLLM-embed ou Text-Embeddings-Inference), modèles open-source (ex.</w:t>
            </w:r>
            <w:r>
              <w:t xml:space="preserve"> </w:t>
            </w:r>
            <w:r>
              <w:rPr>
                <w:rStyle w:val="VerbatimChar"/>
              </w:rPr>
              <w:t xml:space="preserve">BAAI/bge-m3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Composants IA complémentaires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sémantiques et NLI (ex.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sentence-transformers/LaBSE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xlm-roberta-large-xnli</w:t>
            </w:r>
            <w:r>
              <w:t xml:space="preserve">) servis localement via Transformers</w:t>
            </w:r>
          </w:p>
        </w:tc>
      </w:tr>
    </w:tbl>
    <w:bookmarkEnd w:id="24"/>
    <w:bookmarkStart w:id="25" w:name="schéma-logique-simplifié"/>
    <w:p>
      <w:pPr>
        <w:pStyle w:val="Titre3"/>
      </w:pPr>
      <w:r>
        <w:t xml:space="preserve">2.3 Schéma logique simplifié</w:t>
      </w:r>
    </w:p>
    <w:p>
      <w:pPr>
        <w:pStyle w:val="SourceCode"/>
      </w:pPr>
      <w:r>
        <w:rPr>
          <w:rStyle w:val="VerbatimChar"/>
        </w:rPr>
        <w:t xml:space="preserve">                    Internet (HTTPS)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TLS 1.2/1.3 (Let's Encrypt)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│  OVH Load Balancer    │   ◄── Frontière OVHcloud</w:t>
      </w:r>
      <w:r>
        <w:br/>
      </w:r>
      <w:r>
        <w:rPr>
          <w:rStyle w:val="VerbatimChar"/>
        </w:rPr>
        <w:t xml:space="preserve">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│  Istio Ingress GW     │   ◄── Frontière Datategy (cluster K8s)</w:t>
      </w:r>
      <w:r>
        <w:br/>
      </w:r>
      <w:r>
        <w:rPr>
          <w:rStyle w:val="VerbatimChar"/>
        </w:rPr>
        <w:t xml:space="preserve">              │  (mTLS in-cluster)    │</w:t>
      </w:r>
      <w:r>
        <w:br/>
      </w:r>
      <w:r>
        <w:rPr>
          <w:rStyle w:val="VerbatimChar"/>
        </w:rPr>
        <w:t xml:space="preserve">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┌──────────────────┼──────────────────────┐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│                      │</w:t>
      </w:r>
      <w:r>
        <w:br/>
      </w:r>
      <w:r>
        <w:rPr>
          <w:rStyle w:val="VerbatimChar"/>
        </w:rPr>
        <w:t xml:space="preserve">   ┌───▼────┐       ┌─────▼─────┐          ┌─────▼─────┐</w:t>
      </w:r>
      <w:r>
        <w:br/>
      </w:r>
      <w:r>
        <w:rPr>
          <w:rStyle w:val="VerbatimChar"/>
        </w:rPr>
        <w:t xml:space="preserve">   │Frontend│       │ Keycloak  │          │  FastAPI  │</w:t>
      </w:r>
      <w:r>
        <w:br/>
      </w:r>
      <w:r>
        <w:rPr>
          <w:rStyle w:val="VerbatimChar"/>
        </w:rPr>
        <w:t xml:space="preserve">   │ (Next) │       │ (OIDC)    │          │  (core)   │</w:t>
      </w:r>
      <w:r>
        <w:br/>
      </w:r>
      <w:r>
        <w:rPr>
          <w:rStyle w:val="VerbatimChar"/>
        </w:rPr>
        <w:t xml:space="preserve">   └────────┘       └─────┬─────┘          └─────┬─────┘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          │                      │   (appels privés in-cluster)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          │                ┌─────▼──────────────────┐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  │  LLMaaS  ─ vLLM        │</w:t>
      </w:r>
      <w:r>
        <w:br/>
      </w:r>
      <w:r>
        <w:rPr>
          <w:rStyle w:val="VerbatimChar"/>
        </w:rPr>
        <w:t xml:space="preserve">                          │                │  (modèles open-source  │</w:t>
      </w:r>
      <w:r>
        <w:br/>
      </w:r>
      <w:r>
        <w:rPr>
          <w:rStyle w:val="VerbatimChar"/>
        </w:rPr>
        <w:t xml:space="preserve">                          │                │   servis localement)   │</w:t>
      </w:r>
      <w:r>
        <w:br/>
      </w:r>
      <w:r>
        <w:rPr>
          <w:rStyle w:val="VerbatimChar"/>
        </w:rPr>
        <w:t xml:space="preserve">                          │                └─────┬──────────────────┘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          │                ┌─────▼──────────────────┐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  │  EMBaaS  ─ vectoriel   │</w:t>
      </w:r>
      <w:r>
        <w:br/>
      </w:r>
      <w:r>
        <w:rPr>
          <w:rStyle w:val="VerbatimChar"/>
        </w:rPr>
        <w:t xml:space="preserve">                          │                │  (BAAI/bge-m3 local)   │</w:t>
      </w:r>
      <w:r>
        <w:br/>
      </w:r>
      <w:r>
        <w:rPr>
          <w:rStyle w:val="VerbatimChar"/>
        </w:rPr>
        <w:t xml:space="preserve">                          │                └─────┬──────────────────┘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          ▼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Couche données (PV Cinder OVH)  │</w:t>
      </w:r>
      <w:r>
        <w:br/>
      </w:r>
      <w:r>
        <w:rPr>
          <w:rStyle w:val="VerbatimChar"/>
        </w:rPr>
        <w:t xml:space="preserve">                   │  • PostgreSQL  • MinIO  • Vault  │</w:t>
      </w:r>
      <w:r>
        <w:br/>
      </w:r>
      <w:r>
        <w:rPr>
          <w:rStyle w:val="VerbatimChar"/>
        </w:rPr>
        <w:t xml:space="preserve">                   │  • RabbitMQ    • IoTDB      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┌───────▼────────┐</w:t>
      </w:r>
      <w:r>
        <w:br/>
      </w:r>
      <w:r>
        <w:rPr>
          <w:rStyle w:val="VerbatimChar"/>
        </w:rPr>
        <w:t xml:space="preserve">                          │ Snapshots chiff│</w:t>
      </w:r>
      <w:r>
        <w:br/>
      </w:r>
      <w:r>
        <w:rPr>
          <w:rStyle w:val="VerbatimChar"/>
        </w:rPr>
        <w:t xml:space="preserve">                          │ + backups froid│</w:t>
      </w:r>
      <w:r>
        <w:br/>
      </w:r>
      <w:r>
        <w:rPr>
          <w:rStyle w:val="VerbatimChar"/>
        </w:rPr>
        <w:t xml:space="preserve">                          └────────────────┘</w:t>
      </w:r>
    </w:p>
    <w:bookmarkEnd w:id="25"/>
    <w:bookmarkStart w:id="26" w:name="Xcd6add8e722c01a71a460d1d53f3ea930007f7c"/>
    <w:p>
      <w:pPr>
        <w:pStyle w:val="Titre3"/>
      </w:pPr>
      <w:r>
        <w:t xml:space="preserve">2.4 Sécurité des composants d’intelligence artificielle</w:t>
      </w:r>
    </w:p>
    <w:p>
      <w:pPr>
        <w:pStyle w:val="FirstParagraph"/>
      </w:pPr>
      <w:r>
        <w:t xml:space="preserve">L’ensemble des modèles d’IA exploités par la plateforme papAI/Agentium est</w:t>
      </w:r>
      <w:r>
        <w:t xml:space="preserve"> </w:t>
      </w:r>
      <w:r>
        <w:rPr>
          <w:bCs/>
          <w:b/>
        </w:rPr>
        <w:t xml:space="preserve">servi à l’intérieur du périmètre Datategy/OVHcloud</w:t>
      </w:r>
      <w:r>
        <w:t xml:space="preserve"> </w:t>
      </w:r>
      <w:r>
        <w:t xml:space="preserve">: les inférences de modèles de langage (LLM) et les calculs d’embeddings vectoriels s’exécutent sur des composants conteneurisés</w:t>
      </w:r>
      <w:r>
        <w:t xml:space="preserve"> </w:t>
      </w:r>
      <w:r>
        <w:rPr>
          <w:bCs/>
          <w:b/>
        </w:rPr>
        <w:t xml:space="preserve">déployés dans le même cluster Kubernetes</w:t>
      </w:r>
      <w:r>
        <w:t xml:space="preserve"> </w:t>
      </w:r>
      <w:r>
        <w:t xml:space="preserve">que les services applicatifs.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LLMaaS</w:t>
            </w:r>
            <w:r>
              <w:t xml:space="preserve"> </w:t>
            </w:r>
            <w:r>
              <w:t xml:space="preserve">(génération)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d’inférence</w:t>
            </w:r>
            <w:r>
              <w:t xml:space="preserve"> </w:t>
            </w:r>
            <w:r>
              <w:rPr>
                <w:bCs/>
                <w:b/>
              </w:rPr>
              <w:t xml:space="preserve">vLLM</w:t>
            </w:r>
            <w:r>
              <w:t xml:space="preserve"> </w:t>
            </w:r>
            <w:r>
              <w:t xml:space="preserve">(alternative</w:t>
            </w:r>
            <w:r>
              <w:t xml:space="preserve"> </w:t>
            </w:r>
            <w:r>
              <w:rPr>
                <w:bCs/>
                <w:b/>
              </w:rPr>
              <w:t xml:space="preserve">llama.cpp</w:t>
            </w:r>
            <w:r>
              <w:t xml:space="preserve"> </w:t>
            </w:r>
            <w:r>
              <w:t xml:space="preserve">pour modèles quantifiés). Endpoint privé OpenAI-compatible exposé exclusivement intra-cluster.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prompt ni complétion ne quitte l’infrastructure.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EMBaaS</w:t>
            </w:r>
            <w:r>
              <w:t xml:space="preserve"> </w:t>
            </w:r>
            <w:r>
              <w:t xml:space="preserve">(vectorisation)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d’embedding auto-hébergé (vLLM-embed ou Text-Embeddings-Inference), modèles open-source de type</w:t>
            </w:r>
            <w:r>
              <w:t xml:space="preserve"> </w:t>
            </w:r>
            <w:r>
              <w:rPr>
                <w:rStyle w:val="VerbatimChar"/>
              </w:rPr>
              <w:t xml:space="preserve">BAAI/bge-m3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contenu indexé n’est envoyé vers un service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Modèles auxiliaires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sémantiques (</w:t>
            </w:r>
            <w:r>
              <w:rPr>
                <w:rStyle w:val="VerbatimChar"/>
              </w:rPr>
              <w:t xml:space="preserve">LaBSE</w:t>
            </w:r>
            <w:r>
              <w:t xml:space="preserve">), NLI (</w:t>
            </w:r>
            <w:r>
              <w:rPr>
                <w:rStyle w:val="VerbatimChar"/>
              </w:rPr>
              <w:t xml:space="preserve">xlm-roberta-large-xnli</w:t>
            </w:r>
            <w:r>
              <w:t xml:space="preserve">), traduction (</w:t>
            </w:r>
            <w:r>
              <w:rPr>
                <w:rStyle w:val="VerbatimChar"/>
              </w:rPr>
              <w:t xml:space="preserve">opus-mt</w:t>
            </w:r>
            <w:r>
              <w:t xml:space="preserve">) chargés via la bibliothèque Transformers sur GPU local.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open-source vérifiables ; pas d’API externe.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Choix des modèles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open-source (familles Llama, Mistral, Qwen, GPT-OSS, BGE, MiniLM, etc.) sélectionnés et figés par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Reproductibilité, audit possible, immutabilité.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 : seuls les services applicatifs Datategy peuvent appeler les endpoints LLMaaS/EMBaaS ; egress par défaut bloqué.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fuite par sortie inattendue.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modèles sont préchargés depuis un registre interne (MinIO/registre OCI) ; pas de téléchargement à chaud depuis Internet en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d’approvisionnement maîtrisée.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Métriques d’inférence (latence, tokens, codes retour) collectées localement ; les contenus de prompts ne sont pas exportés.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Observabilité sans exfiltration.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Données d’entraînement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fine-tuning n’utilise les données ANDRITZ sans accord explicite et ségrégation par tenant.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contamination inter-clients.</w:t>
            </w:r>
          </w:p>
        </w:tc>
      </w:tr>
    </w:tbl>
    <w:p>
      <w:pPr>
        <w:pStyle w:val="Corpsdetexte"/>
      </w:pPr>
      <w:r>
        <w:rPr>
          <w:bCs/>
          <w:b/>
        </w:rPr>
        <w:t xml:space="preserve">Conséquence pour ANDRITZ</w:t>
      </w:r>
      <w:r>
        <w:t xml:space="preserve"> </w:t>
      </w:r>
      <w:r>
        <w:t xml:space="preserve">: les contenus métier (documents, requêtes utilisateurs, résultats d’évaluation) traités par la couche IA restent en permanence dans le périmètre du cluster d’hébergement OVHcloud. Aucune donnée applicative n’est transmise à un fournisseur d’IA externe par défaut. Le modèle de responsabilité partagée s’applique également à cette couche : OVHcloud opère l’infrastructure GPU/CPU, Datategy opère les services d’inférence et la chaîne de modèles, ANDRITZ contrôle les contenus envoyés en entrée.</w:t>
      </w:r>
    </w:p>
    <w:bookmarkEnd w:id="26"/>
    <w:bookmarkEnd w:id="27"/>
    <w:bookmarkStart w:id="51" w:name="X93ad660eb659caf4bd2bc3c51aebf72cd392741"/>
    <w:p>
      <w:pPr>
        <w:pStyle w:val="Titre2"/>
      </w:pPr>
      <w:r>
        <w:t xml:space="preserve">3. Conformité du sous-traitant d’hébergement OVHcloud</w:t>
      </w:r>
    </w:p>
    <w:bookmarkStart w:id="40" w:name="Xfecc173614eb283bc0ad27525373192c51f15f4"/>
    <w:p>
      <w:pPr>
        <w:pStyle w:val="Titre3"/>
      </w:pPr>
      <w:r>
        <w:t xml:space="preserve">3.1 Certifications et qualifications publiques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101"/>
        <w:gridCol w:w="2747"/>
        <w:gridCol w:w="3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Référentiel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officielle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27001 / 27017 / 27018</w:t>
            </w:r>
            <w:r>
              <w:t xml:space="preserve"> </w:t>
            </w:r>
            <w:r>
              <w:t xml:space="preserve">— SMSI cloud + protection des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 sur les services hébergés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Lienhypertexte"/>
                </w:rPr>
                <w:t xml:space="preserve">ovhcloud.com/fr/compliance/iso-27001-27017-27018/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27701</w:t>
            </w:r>
            <w:r>
              <w:t xml:space="preserve"> </w:t>
            </w:r>
            <w:r>
              <w:t xml:space="preserve">— PIMS (extension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Lienhypertexte"/>
                </w:rPr>
                <w:t xml:space="preserve">ovhcloud.com/fr/compliance/iso-27701/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HDS</w:t>
            </w:r>
            <w:r>
              <w:t xml:space="preserve"> </w:t>
            </w:r>
            <w:r>
              <w:t xml:space="preserve">— Hébergeur de Données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 (offres dédiées)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Lienhypertexte"/>
                </w:rPr>
                <w:t xml:space="preserve">ovhcloud.com/fr/compliance/hds/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SecNumCloud</w:t>
            </w:r>
            <w:r>
              <w:t xml:space="preserve"> </w:t>
            </w:r>
            <w:r>
              <w:t xml:space="preserve">(qualification ANSSI)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Qualifié sur l’offre Bare Metal Pod / Hosted Private Cloud Powered by VMware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Lienhypertexte"/>
                </w:rPr>
                <w:t xml:space="preserve">ovhcloud.com/fr/compliance/secnumcloud/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1 / SOC 2 / SOC 3</w:t>
            </w:r>
            <w:r>
              <w:t xml:space="preserve"> </w:t>
            </w:r>
            <w:r>
              <w:t xml:space="preserve">(SSAE 16 / ISAE 3402 type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Lienhypertexte"/>
                </w:rPr>
                <w:t xml:space="preserve">ovhcloud.com/fr/compliance/soc-1-2-3/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PCI-DSS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 (offres concernées)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Lienhypertexte"/>
                </w:rPr>
                <w:t xml:space="preserve">ovhcloud.com/fr/compliance/pci-dss/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  <w:r>
              <w:t xml:space="preserve"> </w:t>
            </w:r>
            <w:r>
              <w:t xml:space="preserve">(BSI Allemagne)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Lienhypertexte"/>
                </w:rPr>
                <w:t xml:space="preserve">ovhcloud.com/fr/compliance/c5/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HIPAA / HITECH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(datacenters US)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Lienhypertexte"/>
                </w:rPr>
                <w:t xml:space="preserve">ovhcloud.com/fr/compliance/hipaa-hitech/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CSA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1 (auto-évaluation)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Lienhypertexte"/>
                </w:rPr>
                <w:t xml:space="preserve">cloudsecurityalliance.org/star/registry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fondateur, signataire du code de conduite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Lienhypertexte"/>
                </w:rPr>
                <w:t xml:space="preserve">cispe.cloud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14001 / ISO 50001</w:t>
            </w:r>
            <w:r>
              <w:t xml:space="preserve"> </w:t>
            </w:r>
            <w:r>
              <w:t xml:space="preserve">— Management environnemental et énergétique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Lienhypertexte"/>
                </w:rPr>
                <w:t xml:space="preserve">ovhcloud.com/fr/compliance/iso-14001/</w:t>
              </w:r>
            </w:hyperlink>
          </w:p>
        </w:tc>
      </w:tr>
    </w:tbl>
    <w:p>
      <w:pPr>
        <w:pStyle w:val="Corpsdetexte"/>
      </w:pPr>
      <w:r>
        <w:t xml:space="preserve">Vue d’ensemble :</w:t>
      </w:r>
      <w:r>
        <w:t xml:space="preserve"> </w:t>
      </w:r>
      <w:hyperlink r:id="rId21">
        <w:r>
          <w:rPr>
            <w:rStyle w:val="Lienhypertexte"/>
          </w:rPr>
          <w:t xml:space="preserve">ovhcloud.com/fr/compliance/</w:t>
        </w:r>
      </w:hyperlink>
      <w:r>
        <w:t xml:space="preserve"> </w:t>
      </w:r>
      <w:r>
        <w:t xml:space="preserve">— page parent listant l’ensemble des certifications et conformités OVHcloud. La PSSI publique d’OVHcloud est consultable directement sur le centre d’aide :</w:t>
      </w:r>
      <w:r>
        <w:t xml:space="preserve"> </w:t>
      </w:r>
      <w:hyperlink r:id="rId39">
        <w:r>
          <w:rPr>
            <w:rStyle w:val="Lienhypertexte"/>
          </w:rPr>
          <w:t xml:space="preserve">help.ovhcloud.com — Politique de sécurité d’OVHcloud</w:t>
        </w:r>
      </w:hyperlink>
      <w:r>
        <w:t xml:space="preserve">.</w:t>
      </w:r>
    </w:p>
    <w:bookmarkEnd w:id="40"/>
    <w:bookmarkStart w:id="50" w:name="Xb64a303e0fef1054b5ed12bc3306fc469a0e3c8"/>
    <w:p>
      <w:pPr>
        <w:pStyle w:val="Titre3"/>
      </w:pPr>
      <w:r>
        <w:t xml:space="preserve">3.2 Engagements contractuels et politiques publiques OVHcloud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4067"/>
        <w:gridCol w:w="1498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 générales de service &amp; contrats par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contractuel et conditions particulières (incluant SLA Public Cloud / Managed Kubernetes)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Lienhypertexte"/>
                </w:rPr>
                <w:t xml:space="preserve">ovhcloud.com/fr/terms-and-conditions/contracts/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Politique de protection des données personnelles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parent RGPD OVHcloud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Lienhypertexte"/>
                </w:rPr>
                <w:t xml:space="preserve">ovhcloud.com/fr/personal-data-protection/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RGPD — engagements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au Règlement (UE) 2016/679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Lienhypertexte"/>
                </w:rPr>
                <w:t xml:space="preserve">ovhcloud.com/fr/personal-data-protection/gdpr/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Mesures de sécurité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techniques et organisationnelles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Lienhypertexte"/>
                </w:rPr>
                <w:t xml:space="preserve">ovhcloud.com/fr/personal-data-protection/security/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 juridique et confidentialité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des transferts internationaux et clauses contractuelles types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Lienhypertexte"/>
                </w:rPr>
                <w:t xml:space="preserve">ovhcloud.com/fr/personal-data-protection/legal-privacy-security/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Politique d’utilisation des données personnelles (Privacy 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OVHcloud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Lienhypertexte"/>
                </w:rPr>
                <w:t xml:space="preserve">ovhcloud.com/fr/terms-and-conditions/privacy-policy/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PSSI OVHcloud</w:t>
            </w:r>
            <w:r>
              <w:t xml:space="preserve"> </w:t>
            </w:r>
            <w:r>
              <w:t xml:space="preserve">(Politique de sécurité des 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PSSI publique d’OVHcloud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Lienhypertexte"/>
                </w:rPr>
                <w:t xml:space="preserve">help.ovhcloud.com — KB0043105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Souveraineté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de souveraineté UE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Lienhypertexte"/>
                </w:rPr>
                <w:t xml:space="preserve">ovhcloud.com/fr/about-us/data-sovereignty/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Cloud Managed Kubernetes (MKS)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produit MKS (architecture managée, SLA résumé)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Lienhypertexte"/>
                </w:rPr>
                <w:t xml:space="preserve">ovhcloud.com/fr/public-cloud/kubernetes/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Centre d’aide /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Procédures, runbooks, gestion incidents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Lienhypertexte"/>
                </w:rPr>
                <w:t xml:space="preserve">help.ovhcloud.com</w:t>
              </w:r>
            </w:hyperlink>
          </w:p>
        </w:tc>
      </w:tr>
    </w:tbl>
    <w:bookmarkEnd w:id="50"/>
    <w:bookmarkEnd w:id="51"/>
    <w:bookmarkStart w:id="57" w:name="Xd4f052e56a96748cfd2f5e1161e339a414c9ddd"/>
    <w:p>
      <w:pPr>
        <w:pStyle w:val="Titre2"/>
      </w:pPr>
      <w:r>
        <w:t xml:space="preserve">4. Référentiel ISO/IEC 27001:2022 — Mesures applicables</w:t>
      </w:r>
    </w:p>
    <w:p>
      <w:pPr>
        <w:pStyle w:val="FirstParagraph"/>
      </w:pPr>
      <w:r>
        <w:t xml:space="preserve">L’ISO/IEC 27001:2022 (Annexe A) regroupe</w:t>
      </w:r>
      <w:r>
        <w:t xml:space="preserve"> </w:t>
      </w:r>
      <w:r>
        <w:rPr>
          <w:bCs/>
          <w:b/>
        </w:rPr>
        <w:t xml:space="preserve">93 mesures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4 thèmes</w:t>
      </w:r>
      <w:r>
        <w:t xml:space="preserve">. Les sections suivantes décrivent, pour chaque mesure significative, qui en porte la responsabilité (OVHcloud, Datategy, ANDRITZ) et comment elle est implémentée sur l’hébergement papAI/OVH.</w:t>
      </w:r>
    </w:p>
    <w:bookmarkStart w:id="52" w:name="X61a5e39fc660186cd6e4e3228bd3b0a9b473765"/>
    <w:p>
      <w:pPr>
        <w:pStyle w:val="Titre3"/>
      </w:pPr>
      <w:r>
        <w:t xml:space="preserve">A.5 — Mesures organisationnelles (37 contrôles)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420"/>
        <w:gridCol w:w="35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A.5.1</w:t>
            </w:r>
            <w:r>
              <w:t xml:space="preserve"> </w:t>
            </w:r>
            <w:r>
              <w:t xml:space="preserve">Politiques de sécurité de l’information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PSSI Datategy (confidentielle) ; PAS public communicable. PSSI OVHcloud publiée dans la Déclaration d’Applicabilité (SoA) OVH.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 +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A.5.2</w:t>
            </w:r>
            <w:r>
              <w:t xml:space="preserve"> </w:t>
            </w:r>
            <w:r>
              <w:t xml:space="preserve">Rôles et responsabilités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Datategy : DSI (CISO de fait), DevOps, DPO. Comité de sécurité trimestriel.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A.5.7</w:t>
            </w:r>
            <w:r>
              <w:t xml:space="preserve"> </w:t>
            </w:r>
            <w:r>
              <w:t xml:space="preserve">Renseignement sur les menaces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CVE quotidienne (Snyk, Dependabot, ANSSI-CERT-FR, OVH-CERT).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A.5.8</w:t>
            </w:r>
            <w:r>
              <w:t xml:space="preserve"> </w:t>
            </w:r>
            <w:r>
              <w:t xml:space="preserve">Sécurité dans la gestion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sécurité intégrée au cycle développement (CI sécurité, scan IaC).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A.5.9–5.11</w:t>
            </w:r>
            <w:r>
              <w:t xml:space="preserve"> </w:t>
            </w:r>
            <w:r>
              <w:t xml:space="preserve">Inventaire, classification, manipulation des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Inventaire actifs Ansible (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group_vars</w:t>
            </w:r>
            <w:r>
              <w:t xml:space="preserve">) ; classification donnée (Public / Interne / Confidentiel / Secret).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A.5.14</w:t>
            </w:r>
            <w:r>
              <w:t xml:space="preserve"> </w:t>
            </w:r>
            <w:r>
              <w:t xml:space="preserve">Transfert d’information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1.2/1.3 obligatoire pour tout flux entrant ; mTLS Istio entre services internes.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A.5.15–5.18</w:t>
            </w:r>
            <w:r>
              <w:t xml:space="preserve"> </w:t>
            </w:r>
            <w:r>
              <w:t xml:space="preserve">Contrôle d’accès, gestion des identités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26 (OIDC), MFA recommandé, fédération SAML/OIDC vers IdP ANDRITZ.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A.5.19–5.23</w:t>
            </w:r>
            <w:r>
              <w:t xml:space="preserve"> </w:t>
            </w:r>
            <w:r>
              <w:t xml:space="preserve">Sécurité dans les relations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OVHcloud sélectionné pour ses certifications ; DPA signé ; revue annuelle des sous-traitants ; Datategy répond aux questionnaires fournisseurs des responsables de traitement.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A.5.23</w:t>
            </w:r>
            <w:r>
              <w:t xml:space="preserve"> </w:t>
            </w:r>
            <w:r>
              <w:t xml:space="preserve">Sécurité services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de responsabilité partagée formalisé (cf. §2).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 +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A.5.24–5.28</w:t>
            </w:r>
            <w:r>
              <w:t xml:space="preserve"> </w:t>
            </w:r>
            <w:r>
              <w:t xml:space="preserve">Gestion des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d’incident Datategy (PAS §Gestion des incidents) ; notification CNIL &lt;72 h ; alerte client par email / canal ticket.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A.5.29–5.30</w:t>
            </w:r>
            <w:r>
              <w:t xml:space="preserve"> </w:t>
            </w:r>
            <w:r>
              <w:t xml:space="preserve">Continuité — PCA /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Datategy (</w:t>
            </w:r>
            <w:r>
              <w:rPr>
                <w:rStyle w:val="VerbatimChar"/>
              </w:rPr>
              <w:t xml:space="preserve">fiche-bcp-continuity/main.md</w:t>
            </w:r>
            <w:r>
              <w:t xml:space="preserve">) ; RTO 6 h / RPO 12 h sur l’environnement applicatif.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A.5.31–5.34</w:t>
            </w:r>
            <w:r>
              <w:t xml:space="preserve"> </w:t>
            </w:r>
            <w:r>
              <w:t xml:space="preserve">Conformité légale, propriété intellectuelle,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RGPD (cf. §5) ; clauses contractuelles types pour transferts hors UE (non applicable : données stockées en 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A.5.35–5.37</w:t>
            </w:r>
            <w:r>
              <w:t xml:space="preserve"> </w:t>
            </w:r>
            <w:r>
              <w:t xml:space="preserve">Revue indépendante, documentation des procédures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interne annuel ; pentest annuel par tiers indépendant.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</w:tbl>
    <w:bookmarkEnd w:id="52"/>
    <w:bookmarkStart w:id="53" w:name="Xef906ec6181697823a38b9b78ddb5d567e47847"/>
    <w:p>
      <w:pPr>
        <w:pStyle w:val="Titre3"/>
      </w:pPr>
      <w:r>
        <w:t xml:space="preserve">A.6 — Mesures liées aux personnes (8 contrôles)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20"/>
        <w:gridCol w:w="38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A.6.1</w:t>
            </w:r>
            <w:r>
              <w:t xml:space="preserve"> </w:t>
            </w:r>
            <w:r>
              <w:t xml:space="preserve">Filtrage à l’embauche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Vérifications des références ; clause de non-divulgation dans tout contrat de travail.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A.6.2</w:t>
            </w:r>
            <w:r>
              <w:t xml:space="preserve"> </w:t>
            </w:r>
            <w:r>
              <w:t xml:space="preserve">Termes et conditions d’emploi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 informatique signée à l’onboarding ; clause de confidentialité (cf. PAS §RH).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A.6.3</w:t>
            </w:r>
            <w:r>
              <w:t xml:space="preserve"> </w:t>
            </w:r>
            <w:r>
              <w:t xml:space="preserve">Sensibilisation et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sécurité à l’onboarding ; campagnes annuelles (phishing, RGPD, OWASP).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A.6.4</w:t>
            </w:r>
            <w:r>
              <w:t xml:space="preserve"> </w:t>
            </w:r>
            <w:r>
              <w:t xml:space="preserve">Processus disciplinaire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documentée RH ; cas d’incidents traités sous responsabilité Direction.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A.6.5</w:t>
            </w:r>
            <w:r>
              <w:t xml:space="preserve"> </w:t>
            </w:r>
            <w:r>
              <w:t xml:space="preserve">Responsabilités après cessation d’emploi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offboarding : révocation comptes, restitution actifs (cf. PAS §Départ).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A.6.6</w:t>
            </w:r>
            <w:r>
              <w:t xml:space="preserve"> </w:t>
            </w:r>
            <w:r>
              <w:t xml:space="preserve">Accords de confidentialité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standard avec partenaires/clients ; clauses incluses dans tout contrat.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A.6.7</w:t>
            </w:r>
            <w:r>
              <w:t xml:space="preserve"> </w:t>
            </w:r>
            <w:r>
              <w:t xml:space="preserve">Travail à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administrés (chiffrement disque), VPN d’accès, MFA obligatoire pour les accès admin.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A.6.8</w:t>
            </w:r>
            <w:r>
              <w:t xml:space="preserve"> </w:t>
            </w:r>
            <w:r>
              <w:t xml:space="preserve">Notification d’événements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interne dédié ; alertes corrélées (Slack + email DSI).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Datategy</w:t>
            </w:r>
          </w:p>
        </w:tc>
      </w:tr>
    </w:tbl>
    <w:bookmarkEnd w:id="53"/>
    <w:bookmarkStart w:id="55" w:name="a.7-mesures-physiques-14-contrôles"/>
    <w:p>
      <w:pPr>
        <w:pStyle w:val="Titre3"/>
      </w:pPr>
      <w:r>
        <w:t xml:space="preserve">A.7 — Mesures physiques (14 contrôles)</w:t>
      </w:r>
    </w:p>
    <w:p>
      <w:pPr>
        <w:pStyle w:val="FirstParagraph"/>
      </w:pPr>
      <w:r>
        <w:t xml:space="preserve">Les mesures physiques sont</w:t>
      </w:r>
      <w:r>
        <w:t xml:space="preserve"> </w:t>
      </w:r>
      <w:r>
        <w:rPr>
          <w:bCs/>
          <w:b/>
        </w:rPr>
        <w:t xml:space="preserve">intégralement portées par OVHcloud</w:t>
      </w:r>
      <w:r>
        <w:t xml:space="preserve"> </w:t>
      </w:r>
      <w:r>
        <w:t xml:space="preserve">sur les datacenters d’hébergement. Datategy ne stocke aucune donnée client en local.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20"/>
        <w:gridCol w:w="60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</w:t>
            </w:r>
            <w:r>
              <w:t xml:space="preserve"> </w:t>
            </w:r>
            <w:r>
              <w:t xml:space="preserve">Périmètres de sécurité 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Datacenters OVH avec clôture, sas, contrôle d’accès biométrique 24/7 (cf. fiche datacenter OVH).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A.7.2</w:t>
            </w:r>
            <w:r>
              <w:t xml:space="preserve"> </w:t>
            </w:r>
            <w:r>
              <w:t xml:space="preserve">Contrôles d’accès 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strictement nominatif, journalisé ; visites tracées.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A.7.3</w:t>
            </w:r>
            <w:r>
              <w:t xml:space="preserve"> </w:t>
            </w:r>
            <w:r>
              <w:t xml:space="preserve">Sécurisation des bureaux et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Salles techniques séparées, vidéosurveillance permanente.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A.7.4</w:t>
            </w:r>
            <w:r>
              <w:t xml:space="preserve"> </w:t>
            </w:r>
            <w:r>
              <w:t xml:space="preserve">Surveillance 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24/7 ; gardiennage permanent.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A.7.5</w:t>
            </w:r>
            <w:r>
              <w:t xml:space="preserve"> </w:t>
            </w:r>
            <w:r>
              <w:t xml:space="preserve">Protection contre menaces physiques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 en zones non inondables ; détection incendie VESDA + extinction gaz inerte ; redondance électrique N+1 ou 2N selon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A.7.6</w:t>
            </w:r>
            <w:r>
              <w:t xml:space="preserve"> </w:t>
            </w:r>
            <w:r>
              <w:t xml:space="preserve">Travail dans les zones sécurisées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d’intervention OVH ; escortes obligatoires pour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A.7.7</w:t>
            </w:r>
            <w:r>
              <w:t xml:space="preserve"> </w:t>
            </w:r>
            <w:r>
              <w:t xml:space="preserve">Politique de bureau propre / écran verrouillé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au personnel OVH.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A.7.8</w:t>
            </w:r>
            <w:r>
              <w:t xml:space="preserve"> </w:t>
            </w:r>
            <w:r>
              <w:t xml:space="preserve">Emplacement et protection du 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Racks scellés ; salles climatisées (ASHRAE A1).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A.7.9</w:t>
            </w:r>
            <w:r>
              <w:t xml:space="preserve"> </w:t>
            </w:r>
            <w:r>
              <w:t xml:space="preserve">Sécurité des biens hors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objet — pas de matériel client hors datacenter.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A.7.10</w:t>
            </w:r>
            <w:r>
              <w:t xml:space="preserve"> </w:t>
            </w:r>
            <w:r>
              <w:t xml:space="preserve">Supports de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de destruction physique des disques (broyage, certificat).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A.7.11</w:t>
            </w:r>
            <w:r>
              <w:t xml:space="preserve"> </w:t>
            </w:r>
            <w:r>
              <w:t xml:space="preserve">Services support (énergie, climatisation)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Onduleurs UPS + groupes électrogènes ; refroidissement liquide watercooling.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A.7.12</w:t>
            </w:r>
            <w:r>
              <w:t xml:space="preserve"> </w:t>
            </w:r>
            <w:r>
              <w:t xml:space="preserve">Câblage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Chemins de câbles ségrégués (puissance / data) ; FDDI/optique pour interconnexions inter-DC.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A.7.13</w:t>
            </w:r>
            <w:r>
              <w:t xml:space="preserve"> </w:t>
            </w:r>
            <w:r>
              <w:t xml:space="preserve">Maintenance des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de maintenance OVH ; remplacement préventif.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A.7.14</w:t>
            </w:r>
            <w:r>
              <w:t xml:space="preserve"> </w:t>
            </w:r>
            <w:r>
              <w:t xml:space="preserve">Mise au rebut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Disques broyés sur site ; certificat de destruction (sur demande client en NDA).</w:t>
            </w:r>
          </w:p>
        </w:tc>
      </w:tr>
    </w:tbl>
    <w:p>
      <w:pPr>
        <w:pStyle w:val="Normalcentr"/>
      </w:pPr>
      <w:r>
        <w:t xml:space="preserve">Références :</w:t>
      </w:r>
      <w:r>
        <w:t xml:space="preserve"> </w:t>
      </w:r>
      <w:hyperlink r:id="rId47">
        <w:r>
          <w:rPr>
            <w:rStyle w:val="Lienhypertexte"/>
          </w:rPr>
          <w:t xml:space="preserve">ovhcloud.com/fr/about-us/data-sovereignty/</w:t>
        </w:r>
      </w:hyperlink>
      <w:r>
        <w:t xml:space="preserve"> </w:t>
      </w:r>
      <w:r>
        <w:t xml:space="preserve">(engagement souveraineté UE) et</w:t>
      </w:r>
      <w:r>
        <w:t xml:space="preserve"> </w:t>
      </w:r>
      <w:hyperlink r:id="rId54">
        <w:r>
          <w:rPr>
            <w:rStyle w:val="Lienhypertexte"/>
          </w:rPr>
          <w:t xml:space="preserve">corporate.ovhcloud.com/fr/</w:t>
        </w:r>
      </w:hyperlink>
      <w:r>
        <w:t xml:space="preserve"> </w:t>
      </w:r>
      <w:r>
        <w:t xml:space="preserve">(gouvernance, RSE et liste des datacenters OVHcloud).</w:t>
      </w:r>
    </w:p>
    <w:bookmarkEnd w:id="55"/>
    <w:bookmarkStart w:id="56" w:name="a.8-mesures-technologiques-34-contrôles"/>
    <w:p>
      <w:pPr>
        <w:pStyle w:val="Titre3"/>
      </w:pPr>
      <w:r>
        <w:t xml:space="preserve">A.8 — Mesures technologiques (34 contrôles)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Datategy /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</w:t>
            </w:r>
            <w:r>
              <w:t xml:space="preserve"> </w:t>
            </w:r>
            <w:r>
              <w:t xml:space="preserve">Terminaux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administrateurs Datategy avec chiffrement intégral (FileVault/BitLocker), MDM.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</w:t>
            </w:r>
            <w:r>
              <w:t xml:space="preserve"> </w:t>
            </w:r>
            <w:r>
              <w:t xml:space="preserve">Droits d’accès privilégiés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SSH bastion sur IPs whitelistées (cf. PAS §Contrôle d’accès) ; comptes admin K8s nominatifs ; audit logs Keycloak.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</w:t>
            </w:r>
            <w:r>
              <w:t xml:space="preserve"> </w:t>
            </w:r>
            <w:r>
              <w:t xml:space="preserve">Restriction d’accès à l’information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Kubernetes ; NetworkPolicies ; isolation tenant via namespaces et politiques de garde.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A.8.4</w:t>
            </w:r>
            <w:r>
              <w:t xml:space="preserve"> </w:t>
            </w:r>
            <w:r>
              <w:t xml:space="preserve">Accès au code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privé + revue obligatoire ; protection branche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; signed commits.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A.8.5</w:t>
            </w:r>
            <w:r>
              <w:t xml:space="preserve"> </w:t>
            </w:r>
            <w:r>
              <w:t xml:space="preserve">Authentification sécurisée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26 ; politique mot de passe forte (CNIL) ; MFA obligatoire pour les admins ; SSO ANDRITZ via OIDC/SAML.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A.8.6</w:t>
            </w:r>
            <w:r>
              <w:t xml:space="preserve"> </w:t>
            </w: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ressources cluster (Kubernetes Dashboard, alertes seuils).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A.8.7</w:t>
            </w:r>
            <w:r>
              <w:t xml:space="preserve"> </w:t>
            </w:r>
            <w:r>
              <w:t xml:space="preserve">Protection contre malwares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d’images conteneurs (Snyk) avant déploiement ; signatures Cosign possibles ; OVH protège l’infrastructure sous-jacente.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A.8.8</w:t>
            </w:r>
            <w:r>
              <w:t xml:space="preserve"> </w:t>
            </w:r>
            <w:r>
              <w:t xml:space="preserve">Vulnérabilités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scan continu (Snyk dépendances + conteneurs) ; CIS Benchmark Docker (Docker Bench) ; patch management mensuel.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A.8.9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en code via Ansible (</w:t>
            </w:r>
            <w:r>
              <w:rPr>
                <w:rStyle w:val="VerbatimChar"/>
              </w:rPr>
              <w:t xml:space="preserve">OPS/ansible/env/prod-ovh-k8s/</w:t>
            </w:r>
            <w:r>
              <w:t xml:space="preserve">) ; revue MR obligatoire.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A.8.10</w:t>
            </w:r>
            <w:r>
              <w:t xml:space="preserve"> </w:t>
            </w:r>
            <w:r>
              <w:t xml:space="preserve">Suppression d’information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de purge à fin de contrat (cf. §5) ; suppression sécurisée des PV (Reclaim Policy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A.8.11</w:t>
            </w:r>
            <w:r>
              <w:t xml:space="preserve"> </w:t>
            </w:r>
            <w:r>
              <w:t xml:space="preserve">Masquage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sensibles chiffrées au repos ; pseudonymisation possible côté applicatif.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A.8.12</w:t>
            </w:r>
            <w:r>
              <w:t xml:space="preserve"> </w:t>
            </w:r>
            <w:r>
              <w:t xml:space="preserve">Prévention de fuite (DLP)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NetworkPolicy par défaut deny ; logs de flux sortants.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A.8.13</w:t>
            </w:r>
            <w:r>
              <w:t xml:space="preserve"> </w:t>
            </w:r>
            <w:r>
              <w:t xml:space="preserve">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PV journalier chiffré (rétention 7 j chaud / 1 mois hebdo / 12 mois mensuel) ; tests restauration trimestriels.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A.8.14</w:t>
            </w:r>
            <w:r>
              <w:t xml:space="preserve"> </w:t>
            </w:r>
            <w:r>
              <w:t xml:space="preserve">Redondance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 MKS : control plane redondant managé OVH ; workers ≥ 2 pour la production ; PostgreSQL réplication 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A.8.15</w:t>
            </w:r>
            <w:r>
              <w:t xml:space="preserve"> </w:t>
            </w:r>
            <w:r>
              <w:t xml:space="preserve">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applicatifs centralisés (stdout pods + Loki/ELK selon config) ; logs Keycloak ; logs API K8s ; rétention min. 6 mois.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A.8.16</w:t>
            </w:r>
            <w:r>
              <w:t xml:space="preserve"> </w:t>
            </w:r>
            <w:r>
              <w:t xml:space="preserve">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temps réel (CPU/RAM/IO, alertes mail) ; supervision Istio ; healthchecks K8s.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A.8.17</w:t>
            </w:r>
            <w:r>
              <w:t xml:space="preserve"> </w:t>
            </w:r>
            <w:r>
              <w:t xml:space="preserve">Synchronisation horloges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du cluster MKS aligné OVH NTP.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A.8.18</w:t>
            </w:r>
            <w:r>
              <w:t xml:space="preserve"> </w:t>
            </w:r>
            <w:r>
              <w:t xml:space="preserve">Utilisation de programmes utilitaires privilégiés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Restreints aux opérateurs Datategy ; tracés dans Vault audit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A.8.19</w:t>
            </w:r>
            <w:r>
              <w:t xml:space="preserve"> </w:t>
            </w:r>
            <w:r>
              <w:t xml:space="preserve">Installation logiciel sur systèmes opérationnels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déploiement passe par Ansible + GitOps ; pas d’installation manuelle.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A.8.20–8.22</w:t>
            </w:r>
            <w:r>
              <w:t xml:space="preserve"> </w:t>
            </w:r>
            <w:r>
              <w:t xml:space="preserve">Sécurité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 mTLS in-cluster ; NetworkPolicies par namespace ; ségrégation ingress/egress.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A.8.23</w:t>
            </w:r>
            <w:r>
              <w:t xml:space="preserve"> </w:t>
            </w:r>
            <w:r>
              <w:t xml:space="preserve">Filtrage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filtering au niveau cluster + niveau OVH (gateway).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A.8.24</w:t>
            </w:r>
            <w:r>
              <w:t xml:space="preserve"> </w:t>
            </w:r>
            <w:r>
              <w:t xml:space="preserve">Cryptographie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1.2/1.3 en transit ; AES-256 sur snapshots OVH ; Vault pour secrets ; certs RSA 2048 SHA-256 (cf. PAS §Cryptographie).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A.8.25–8.27</w:t>
            </w:r>
            <w:r>
              <w:t xml:space="preserve"> </w:t>
            </w:r>
            <w:r>
              <w:t xml:space="preserve">Cycle de vie 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GitLab : tests unitaires, qualité code, scan sécu, scan licence ; environnements dev/staging/prod isolés.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A.8.28</w:t>
            </w:r>
            <w:r>
              <w:t xml:space="preserve"> </w:t>
            </w:r>
            <w:r>
              <w:t xml:space="preserve">Codage sécurisé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 OWASP Top 10 (cf. PAS §Sécurité logicielle) ; revue de code obligatoire.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A.8.29</w:t>
            </w:r>
            <w:r>
              <w:t xml:space="preserve"> </w:t>
            </w:r>
            <w:r>
              <w:t xml:space="preserve">Tests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annuel tiers ; tests automatisés en CI (SAST).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A.8.30</w:t>
            </w:r>
            <w:r>
              <w:t xml:space="preserve"> </w:t>
            </w:r>
            <w:r>
              <w:t xml:space="preserve">Développement externalisé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objet — développement interne Datategy.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A.8.31</w:t>
            </w:r>
            <w:r>
              <w:t xml:space="preserve"> </w:t>
            </w:r>
            <w:r>
              <w:t xml:space="preserve">Séparation des environnements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  <w:r>
              <w:t xml:space="preserve"> </w:t>
            </w:r>
            <w:r>
              <w:rPr>
                <w:rStyle w:val="VerbatimChar"/>
              </w:rPr>
              <w:t xml:space="preserve">prod-ovh-k8s</w:t>
            </w:r>
            <w:r>
              <w:t xml:space="preserve"> </w:t>
            </w:r>
            <w:r>
              <w:t xml:space="preserve">distinct des clusters</w:t>
            </w:r>
            <w:r>
              <w:t xml:space="preserve"> </w:t>
            </w:r>
            <w:r>
              <w:rPr>
                <w:rStyle w:val="VerbatimChar"/>
              </w:rPr>
              <w:t xml:space="preserve">dev-ovh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demo-ovh</w:t>
            </w:r>
            <w:r>
              <w:t xml:space="preserve"> </w:t>
            </w:r>
            <w:r>
              <w:t xml:space="preserve">(cf. </w:t>
            </w:r>
            <w:r>
              <w:rPr>
                <w:rStyle w:val="VerbatimChar"/>
              </w:rPr>
              <w:t xml:space="preserve">prod-ovh-k8s/PREREQUISITES.md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A.8.32</w:t>
            </w:r>
            <w:r>
              <w:t xml:space="preserve"> </w:t>
            </w:r>
            <w:r>
              <w:t xml:space="preserve">Gestion du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GitOps + revue MR obligatoire ; runbook de rollout (</w:t>
            </w:r>
            <w:r>
              <w:rPr>
                <w:rStyle w:val="VerbatimChar"/>
              </w:rPr>
              <w:t xml:space="preserve">PROD_OVH_K8S_ROLLOUT.md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A.8.33</w:t>
            </w:r>
            <w:r>
              <w:t xml:space="preserve"> </w:t>
            </w:r>
            <w:r>
              <w:t xml:space="preserve">Données de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Jeux de test synthétiques ou anonymisés ; pas de copie production en environnements inférieurs.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A.8.34</w:t>
            </w:r>
            <w:r>
              <w:t xml:space="preserve"> </w:t>
            </w:r>
            <w:r>
              <w:t xml:space="preserve">Protection systèmes en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 planifiés ; isolation des outils d’audit.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A.8.x — Sécurité des services d’IA</w:t>
            </w:r>
            <w:r>
              <w:t xml:space="preserve"> </w:t>
            </w:r>
            <w:r>
              <w:rPr>
                <w:iCs/>
                <w:i/>
              </w:rPr>
              <w:t xml:space="preserve">(extension Datategy)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Inférence LLM et embeddings exécutées intra-cluster (vLLM / llama.cpp / TEI). Modèles open-source figés et préchargés. Endpoints privés Kubernetes, NetworkPolicy restrictive, pas d’appel sortant vers fournisseur d’IA tiers en configuration standard. Journalisation des métadonnées d’inférence, pas des contenus. Cf. §2.4.</w:t>
            </w:r>
          </w:p>
        </w:tc>
      </w:tr>
    </w:tbl>
    <w:bookmarkEnd w:id="56"/>
    <w:bookmarkEnd w:id="57"/>
    <w:bookmarkStart w:id="63" w:name="protection-des-données-personnelles-rgpd"/>
    <w:p>
      <w:pPr>
        <w:pStyle w:val="Titre2"/>
      </w:pPr>
      <w:r>
        <w:t xml:space="preserve">5. Protection des données personnelles (RGPD)</w:t>
      </w:r>
    </w:p>
    <w:bookmarkStart w:id="58" w:name="localisation-et-transferts"/>
    <w:p>
      <w:pPr>
        <w:pStyle w:val="Titre3"/>
      </w:pPr>
      <w:r>
        <w:t xml:space="preserve">5.1 Localisation et transferts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Stockage des données</w:t>
      </w:r>
      <w:r>
        <w:t xml:space="preserve"> </w:t>
      </w:r>
      <w:r>
        <w:t xml:space="preserve">: datacenters OVHcloud situés en</w:t>
      </w:r>
      <w:r>
        <w:t xml:space="preserve"> </w:t>
      </w:r>
      <w:r>
        <w:rPr>
          <w:bCs/>
          <w:b/>
        </w:rPr>
        <w:t xml:space="preserve">Union européenne</w:t>
      </w:r>
      <w:r>
        <w:t xml:space="preserve"> </w:t>
      </w:r>
      <w:r>
        <w:t xml:space="preserve">(France principalement — GRA, SBG, RBX). Aucun transfert par défaut vers un pays tiers.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Sous-traitance</w:t>
      </w:r>
      <w:r>
        <w:t xml:space="preserve"> </w:t>
      </w:r>
      <w:r>
        <w:t xml:space="preserve">: OVHcloud publie son cadre de gestion des sous-traitants ultérieurs sur</w:t>
      </w:r>
      <w:r>
        <w:t xml:space="preserve"> </w:t>
      </w:r>
      <w:hyperlink r:id="rId45">
        <w:r>
          <w:rPr>
            <w:rStyle w:val="Lienhypertexte"/>
          </w:rPr>
          <w:t xml:space="preserve">ovhcloud.com/fr/personal-data-protection/legal-privacy-security/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Souveraineté</w:t>
      </w:r>
      <w:r>
        <w:t xml:space="preserve"> </w:t>
      </w:r>
      <w:r>
        <w:t xml:space="preserve">: OVHcloud est un acteur français (groupe coté Euronext Paris), soumis au droit européen ; pas d’exposition au CLOUD Act US sur les offres opérées depuis les datacenters européens d’OVH SAS.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Inférence IA</w:t>
      </w:r>
      <w:r>
        <w:t xml:space="preserve"> </w:t>
      </w:r>
      <w:r>
        <w:t xml:space="preserve">: les modèles LLM et d’embedding s’exécutent</w:t>
      </w:r>
      <w:r>
        <w:t xml:space="preserve"> </w:t>
      </w:r>
      <w:r>
        <w:rPr>
          <w:bCs/>
          <w:b/>
        </w:rPr>
        <w:t xml:space="preserve">dans le cluster d’hébergement</w:t>
      </w:r>
      <w:r>
        <w:t xml:space="preserve"> </w:t>
      </w:r>
      <w:r>
        <w:t xml:space="preserve">(cf. §2.4). En configuration standard, aucune donnée ANDRITZ n’est transmise à un fournisseur d’IA externe — les problématiques de transfert international applicables aux API d’IA tierces (CLOUD Act,</w:t>
      </w:r>
      <w:r>
        <w:t xml:space="preserve"> </w:t>
      </w:r>
      <w:r>
        <w:rPr>
          <w:iCs/>
          <w:i/>
        </w:rPr>
        <w:t xml:space="preserve">Schrems II</w:t>
      </w:r>
      <w:r>
        <w:t xml:space="preserve">) sont par construction écartées.</w:t>
      </w:r>
    </w:p>
    <w:bookmarkEnd w:id="58"/>
    <w:bookmarkStart w:id="59" w:name="X02ebbe57df84e5baf0c4483ea3d04b9ccf0e52f"/>
    <w:p>
      <w:pPr>
        <w:pStyle w:val="Titre3"/>
      </w:pPr>
      <w:r>
        <w:t xml:space="preserve">5.2 Mesures techniques et organisationnelles (MTO art. 32 RGPD)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1.2/1.3 en transit ; chiffrement AES-256 au repos (snapshots, backups) ; secrets Vault chiffrés (transit + repos) ; isolation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Signatures de commits, checksums sur backups, journalisation immuable (logs append-only).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K8s redondé ; MKS avec control plane managé OVH ; sauvegardes testées trimestriellement ; PCA RTO 6 h / RPO 12 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Keycloak (authentification), logs API K8s, audit Vault, audit applicatif papAI.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Pseudonymisation / anonymisation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au niveau applicatif selon cas d’usage ANDRITZ.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réguliers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annuel ; tests restauration trimestriels ; revue PSSI annuelle.</w:t>
            </w:r>
          </w:p>
        </w:tc>
      </w:tr>
    </w:tbl>
    <w:bookmarkEnd w:id="59"/>
    <w:bookmarkStart w:id="60" w:name="droits-des-personnes-concernées"/>
    <w:p>
      <w:pPr>
        <w:pStyle w:val="Titre3"/>
      </w:pPr>
      <w:r>
        <w:t xml:space="preserve">5.3 Droits des personnes concernées</w:t>
      </w:r>
    </w:p>
    <w:p>
      <w:pPr>
        <w:pStyle w:val="FirstParagraph"/>
      </w:pPr>
      <w:r>
        <w:t xml:space="preserve">Datategy traite les demandes d’exercice des droits (accès, rectification, effacement, portabilité, opposition) via le DPO ANDRITZ comme guichet unique, et apporte le concours technique requis dans les 48 h ouvrées (cf. politique de confidentialité Datategy —</w:t>
      </w:r>
      <w:r>
        <w:t xml:space="preserve"> </w:t>
      </w:r>
      <w:r>
        <w:rPr>
          <w:rStyle w:val="VerbatimChar"/>
        </w:rPr>
        <w:t xml:space="preserve">fiche-privacy/main.md</w:t>
      </w:r>
      <w:r>
        <w:t xml:space="preserve">).</w:t>
      </w:r>
    </w:p>
    <w:bookmarkEnd w:id="60"/>
    <w:bookmarkStart w:id="61" w:name="notification-de-violation"/>
    <w:p>
      <w:pPr>
        <w:pStyle w:val="Titre3"/>
      </w:pPr>
      <w:r>
        <w:t xml:space="preserve">5.4 Notification de violation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Datategy → ANDRITZ</w:t>
      </w:r>
      <w:r>
        <w:t xml:space="preserve"> </w:t>
      </w:r>
      <w:r>
        <w:t xml:space="preserve">: sous 24 h ouvrées dès qualification de la violation (canal contractuel).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OVHcloud → Datategy</w:t>
      </w:r>
      <w:r>
        <w:t xml:space="preserve"> </w:t>
      </w:r>
      <w:r>
        <w:t xml:space="preserve">: conformément au DPA OVHcloud (sans retard injustifié, généralement &lt;72 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ANDRITZ → CNIL/autorité compétente</w:t>
      </w:r>
      <w:r>
        <w:t xml:space="preserve"> </w:t>
      </w:r>
      <w:r>
        <w:t xml:space="preserve">: sous 72 h conformément à l’article 33 RGPD, avec appui technique de Datategy.</w:t>
      </w:r>
    </w:p>
    <w:bookmarkEnd w:id="61"/>
    <w:bookmarkStart w:id="62" w:name="réversibilité-et-fin-de-contrat"/>
    <w:p>
      <w:pPr>
        <w:pStyle w:val="Titre3"/>
      </w:pPr>
      <w:r>
        <w:t xml:space="preserve">5.5 Réversibilité et fin de contrat</w:t>
      </w:r>
    </w:p>
    <w:p>
      <w:pPr>
        <w:pStyle w:val="FirstParagraph"/>
      </w:pPr>
      <w:r>
        <w:t xml:space="preserve">Conformément à la politique Datategy (cf. PAS §Réversibilité) :</w:t>
      </w:r>
    </w:p>
    <w:p>
      <w:pPr>
        <w:numPr>
          <w:ilvl w:val="0"/>
          <w:numId w:val="1004"/>
        </w:numPr>
        <w:pStyle w:val="Compact"/>
      </w:pPr>
      <w:r>
        <w:t xml:space="preserve">Restitution des données dans un format ouvert (dumps PostgreSQL chiffrés, exports MinIO/S3, modèles d’IA, scripts) via SFTP/FTPS sur serveur désigné par ANDRITZ.</w:t>
      </w:r>
    </w:p>
    <w:p>
      <w:pPr>
        <w:numPr>
          <w:ilvl w:val="0"/>
          <w:numId w:val="1004"/>
        </w:numPr>
        <w:pStyle w:val="Compact"/>
      </w:pPr>
      <w:r>
        <w:t xml:space="preserve">Suppression sécurisée des données après délai de réversibilité contractuel (typiquement 30 jours après notification de fin de contrat).</w:t>
      </w:r>
    </w:p>
    <w:p>
      <w:pPr>
        <w:numPr>
          <w:ilvl w:val="0"/>
          <w:numId w:val="1004"/>
        </w:numPr>
        <w:pStyle w:val="Compact"/>
      </w:pPr>
      <w:r>
        <w:t xml:space="preserve">Certificat de destruction fourni à ANDRITZ.</w:t>
      </w:r>
    </w:p>
    <w:p>
      <w:pPr>
        <w:numPr>
          <w:ilvl w:val="0"/>
          <w:numId w:val="1004"/>
        </w:numPr>
        <w:pStyle w:val="Compact"/>
      </w:pPr>
      <w:r>
        <w:t xml:space="preserve">Suppression OVH des volumes Cinder selon la politique OVH (zeroing logique + procédure de destruction physique des disques en fin de vie).</w:t>
      </w:r>
    </w:p>
    <w:bookmarkEnd w:id="62"/>
    <w:bookmarkEnd w:id="63"/>
    <w:bookmarkStart w:id="67" w:name="cartographie-du-dossier-de-livraison"/>
    <w:p>
      <w:pPr>
        <w:pStyle w:val="Titre2"/>
      </w:pPr>
      <w:r>
        <w:t xml:space="preserve">6. Cartographie du dossier de livraison</w:t>
      </w:r>
    </w:p>
    <w:p>
      <w:pPr>
        <w:pStyle w:val="FirstParagraph"/>
      </w:pPr>
      <w:r>
        <w:t xml:space="preserve">Le dossier de livraison ANDRITZ est organisé en trois compartiments. Chaque pièce est mise en correspondance avec les mesures de l’Annexe A de la norme ISO/IEC 27001:2022 qu’elle documente.</w:t>
      </w:r>
    </w:p>
    <w:bookmarkStart w:id="64" w:name="synthese-note-de-synthèse-datategy"/>
    <w:p>
      <w:pPr>
        <w:pStyle w:val="Titre3"/>
      </w:pPr>
      <w:r>
        <w:t xml:space="preserve">6.1</w:t>
      </w:r>
      <w:r>
        <w:t xml:space="preserve"> </w:t>
      </w:r>
      <w:r>
        <w:rPr>
          <w:rStyle w:val="VerbatimChar"/>
        </w:rPr>
        <w:t xml:space="preserve">00_synthese/</w:t>
      </w:r>
      <w:r>
        <w:t xml:space="preserve"> </w:t>
      </w:r>
      <w:r>
        <w:t xml:space="preserve">— Note de synthèse Datategy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26"/>
        <w:gridCol w:w="149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fiche-hosting-ovh-andritz.docx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présent document — synthèse de l’hébergement OVH/papAI structurée par mesure ISO 27001:2022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intégrale Annexe A (A.5 à A.8)</w:t>
            </w:r>
          </w:p>
        </w:tc>
      </w:tr>
    </w:tbl>
    <w:bookmarkEnd w:id="64"/>
    <w:bookmarkStart w:id="65" w:name="X16b516dd545448a60a4561e01a0c4f85e06ab0a"/>
    <w:p>
      <w:pPr>
        <w:pStyle w:val="Titre3"/>
      </w:pPr>
      <w:r>
        <w:t xml:space="preserve">6.2</w:t>
      </w:r>
      <w:r>
        <w:t xml:space="preserve"> </w:t>
      </w:r>
      <w:r>
        <w:rPr>
          <w:rStyle w:val="VerbatimChar"/>
        </w:rPr>
        <w:t xml:space="preserve">01_datategy/</w:t>
      </w:r>
      <w:r>
        <w:t xml:space="preserve"> </w:t>
      </w:r>
      <w:r>
        <w:t xml:space="preserve">— Politiques et procédures Datategy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26"/>
        <w:gridCol w:w="149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01_PAS-plan-assurance-securite.pdf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d’Assurance Sécurité (PSSI publique, gestion des risques EBIOS, RH, exploitation, cryptographie, sécurité logicielle, réversibilité)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A.5.1, A.5.7-A.5.18, A.5.24-A.5.37, A.6.1-A.6.8, A.8.2-A.8.34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02_PCA-plan-continuite-activite.pdf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Continuité d’Activité (RTO 6 h / RPO 12 h, scénarios de sévérité, prévention,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A.5.29, A.5.30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03_PRS-plan-reprise-sinistre.pdf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Reprise après Sinistre (sauvegardes PV, procédure de récupération)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A.5.30, A.8.13, A.8.14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04_politique-confidentialite.pdf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de confidentialité Datategy (collecte, finalités, conservation, droits)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05_DPA-data-processing-addendum.pdf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Addendum (annexe RGPD art.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A.5.19-A.5.23, 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06_SLA-et-conditions-support.pdf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et conditions de support (priorités d’incident, délais de prise en compte et de résolution)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A.5.30, A.8.16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07_programme-formation-papAI.pdf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de formation utilisateurs papAI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A.6.3</w:t>
            </w:r>
          </w:p>
        </w:tc>
      </w:tr>
    </w:tbl>
    <w:bookmarkEnd w:id="65"/>
    <w:bookmarkStart w:id="66" w:name="X56e22faa8f2c8be009f6b9d295ee91ef5ee2ee8"/>
    <w:p>
      <w:pPr>
        <w:pStyle w:val="Titre3"/>
      </w:pPr>
      <w:r>
        <w:t xml:space="preserve">6.3</w:t>
      </w:r>
      <w:r>
        <w:t xml:space="preserve"> </w:t>
      </w:r>
      <w:r>
        <w:rPr>
          <w:rStyle w:val="VerbatimChar"/>
        </w:rPr>
        <w:t xml:space="preserve">02_ovhcloud/</w:t>
      </w:r>
      <w:r>
        <w:t xml:space="preserve"> </w:t>
      </w:r>
      <w:r>
        <w:t xml:space="preserve">— Documents publics OVHcloud (sous-traitant d’hébergement)</w:t>
      </w:r>
    </w:p>
    <w:p>
      <w:pPr>
        <w:pStyle w:val="FirstParagraph"/>
      </w:pPr>
      <w:r>
        <w:t xml:space="preserve">Pages publiques OVHcloud archivées en PDF au moment de la constitution du dossier.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26"/>
        <w:gridCol w:w="149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01_OVH-conformite-vue-ensemble.pdf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 global des certifications et conformités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A.5.19-A.5.23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02_OVH-ISO-27001-27017-27018.pdf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SMSI cloud + protection des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A.5, A.7 (DC), A.8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03_OVH-ISO-27701.pdf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PIMS (extension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04_OVH-HDS.pdf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Hébergeur de Données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A.5.31, 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05_OVH-SecNumCloud.pdf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 ANSSI cloud de 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A.5.19-A.5.23, A.7, A.8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06_OVH-SOC-1-2-3.pdf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Attestations AICPA SSAE 16 / ISAE 3402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A.5.35, A.8.34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07_OVH-PCI-DSS.pdf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PCI-DSS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A.8 (selon offres)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08_OVH-protection-donnees-personnelles.pdf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parent RGPD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09_OVH-RGPD.pdf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Engagements OVHcloud au regard du Règlement (UE) 2016/679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10_OVH-mesures-de-securite.pdf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techniques et organisationnelles OVHcloud (art. 32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A.7, A.8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11_OVH-securite-juridique-confidentialite.pdf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juridique des transferts internationaux et clauses contractuelles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A.5.31, 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12_OVH-privacy-policy.pdf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d’utilisation des données à caractère personnel OVHcloud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13_OVH-PSSI-help-center.pdf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de Sécurité des Systèmes d’Information OVHcloud (publique)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14_OVH-conditions-de-service.pdf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de service par produit, incluant SLA Public Cloud / Managed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A.5.20, A.5.30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15_OVH-public-cloud-managed-kubernetes.pdf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produit Managed Kubernetes Service (architecture managée, périmètre opérationnel)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A.8.6, A.8.14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16_OVH-souverainete-des-donnees.pdf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de souveraineté des données dans l’Union européenne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A.5.31, A.5.34</w:t>
            </w:r>
          </w:p>
        </w:tc>
      </w:tr>
    </w:tbl>
    <w:bookmarkEnd w:id="66"/>
    <w:bookmarkEnd w:id="67"/>
    <w:bookmarkStart w:id="71" w:name="annexes"/>
    <w:p>
      <w:pPr>
        <w:pStyle w:val="Titre2"/>
      </w:pPr>
      <w:r>
        <w:t xml:space="preserve">7. Annexes</w:t>
      </w:r>
    </w:p>
    <w:bookmarkStart w:id="68" w:name="X8054db552d65b9fd478409cda65b2f257d791b9"/>
    <w:p>
      <w:pPr>
        <w:pStyle w:val="Titre3"/>
      </w:pPr>
      <w:r>
        <w:t xml:space="preserve">Annexe A — Mapping ISO 27001:2022 ↔ documents Datategy / OVHcloud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Thème ISO 27001:2022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Datategy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OVHcloud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 Mesures organisationnelles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PAS, PCA, DPA Datategy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d’Applicabilité ISO 27001, DPA OVH, liste sous-traitants OVH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 Mesures liées aux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§RH, programme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 Mesures physiques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objet (pas de DC propre)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datacenters, ISO 27001, HDS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 Mesures technologiques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§Cryptographie/Réseau/Dev, 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SoA, ISO 27017, SOC 2</w:t>
            </w:r>
          </w:p>
        </w:tc>
      </w:tr>
    </w:tbl>
    <w:bookmarkEnd w:id="68"/>
    <w:bookmarkStart w:id="69" w:name="annexe-b-glossaire"/>
    <w:p>
      <w:pPr>
        <w:pStyle w:val="Titre3"/>
      </w:pPr>
      <w:r>
        <w:t xml:space="preserve">Annexe B — Glossaire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CSI</w:t>
      </w:r>
      <w:r>
        <w:t xml:space="preserve"> </w:t>
      </w:r>
      <w:r>
        <w:t xml:space="preserve">: Container Storage Interface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DPA</w:t>
      </w:r>
      <w:r>
        <w:t xml:space="preserve"> </w:t>
      </w:r>
      <w:r>
        <w:t xml:space="preserve">: Data Processing Agreement (Accord de sous-traitance RGPD art. 28)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EMBaaS</w:t>
      </w:r>
      <w:r>
        <w:t xml:space="preserve"> </w:t>
      </w:r>
      <w:r>
        <w:t xml:space="preserve">: Embeddings as a Service (service de vectorisation auto-hébergé)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HDS</w:t>
      </w:r>
      <w:r>
        <w:t xml:space="preserve"> </w:t>
      </w:r>
      <w:r>
        <w:t xml:space="preserve">: Hébergeur de Données de Santé (référentiel français)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llama.cpp</w:t>
      </w:r>
      <w:r>
        <w:t xml:space="preserve"> </w:t>
      </w:r>
      <w:r>
        <w:t xml:space="preserve">: moteur d’inférence open-source pour modèles quantifiés (alternative à vLLM)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LLMaaS</w:t>
      </w:r>
      <w:r>
        <w:t xml:space="preserve"> </w:t>
      </w:r>
      <w:r>
        <w:t xml:space="preserve">: Large Language Model as a Service (service d’inférence LLM auto-hébergé)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MKS</w:t>
      </w:r>
      <w:r>
        <w:t xml:space="preserve"> </w:t>
      </w:r>
      <w:r>
        <w:t xml:space="preserve">: Managed Kubernetes Service (OVHcloud)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NLI</w:t>
      </w:r>
      <w:r>
        <w:t xml:space="preserve"> </w:t>
      </w:r>
      <w:r>
        <w:t xml:space="preserve">: Natural Language Inference (inférence sémantique)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: Plan d’Assurance Sécurité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PCA</w:t>
      </w:r>
      <w:r>
        <w:t xml:space="preserve"> </w:t>
      </w:r>
      <w:r>
        <w:t xml:space="preserve">: Plan de Continuité d’Activité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PRS</w:t>
      </w:r>
      <w:r>
        <w:t xml:space="preserve"> </w:t>
      </w:r>
      <w:r>
        <w:t xml:space="preserve">: Plan de Reprise après Sinistre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PSSI</w:t>
      </w:r>
      <w:r>
        <w:t xml:space="preserve"> </w:t>
      </w:r>
      <w:r>
        <w:t xml:space="preserve">: Politique de Sécurité des Systèmes d’Information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RPO</w:t>
      </w:r>
      <w:r>
        <w:t xml:space="preserve"> </w:t>
      </w:r>
      <w:r>
        <w:t xml:space="preserve">: Recovery Point Objective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RTO</w:t>
      </w:r>
      <w:r>
        <w:t xml:space="preserve"> </w:t>
      </w:r>
      <w:r>
        <w:t xml:space="preserve">: Recovery Time Objective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SecNumCloud</w:t>
      </w:r>
      <w:r>
        <w:t xml:space="preserve"> </w:t>
      </w:r>
      <w:r>
        <w:t xml:space="preserve">: qualification ANSSI pour cloud de confiance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SMSI</w:t>
      </w:r>
      <w:r>
        <w:t xml:space="preserve"> </w:t>
      </w:r>
      <w:r>
        <w:t xml:space="preserve">: Système de Management de la Sécurité de l’Information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SoA</w:t>
      </w:r>
      <w:r>
        <w:t xml:space="preserve"> </w:t>
      </w:r>
      <w:r>
        <w:t xml:space="preserve">: Statement of Applicability (Déclaration d’Applicabilité ISO 27001)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TEI</w:t>
      </w:r>
      <w:r>
        <w:t xml:space="preserve"> </w:t>
      </w:r>
      <w:r>
        <w:t xml:space="preserve">: Text-Embeddings-Inference (serveur d’embeddings open-source)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vLLM</w:t>
      </w:r>
      <w:r>
        <w:t xml:space="preserve"> </w:t>
      </w:r>
      <w:r>
        <w:t xml:space="preserve">: moteur d’inférence haute performance open-source compatible API OpenAI</w:t>
      </w:r>
    </w:p>
    <w:bookmarkEnd w:id="69"/>
    <w:bookmarkStart w:id="70" w:name="annexe-c-contacts"/>
    <w:p>
      <w:pPr>
        <w:pStyle w:val="Titre3"/>
      </w:pPr>
      <w:r>
        <w:t xml:space="preserve">Annexe C — Contacts</w:t>
      </w:r>
    </w:p>
    <w:tbl>
      <w:tblPr>
        <w:tblStyle w:val="TableauGrille4-Accentuation1"/>
        <w:tblW w:type="pct" w:w="5000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Datategy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 de la sécurité (DSI / RSSI)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renseigner —</w:t>
            </w:r>
            <w:r>
              <w:t xml:space="preserve"> </w:t>
            </w:r>
            <w:r>
              <w:rPr>
                <w:rStyle w:val="VerbatimChar"/>
              </w:rPr>
              <w:t xml:space="preserve">security@datategy.net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Délégué à la Protection des Données (DPO)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dpo@datategy.net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contractuel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support@papai.ai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d’incident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contractuel ANDRITZ +</w:t>
            </w:r>
            <w:r>
              <w:t xml:space="preserve"> </w:t>
            </w:r>
            <w:r>
              <w:rPr>
                <w:rStyle w:val="VerbatimChar"/>
              </w:rPr>
              <w:t xml:space="preserve">security@datategy.net</w:t>
            </w:r>
          </w:p>
        </w:tc>
      </w:tr>
    </w:tbl>
    <w:p>
      <w:pPr>
        <w:pStyle w:val="Corpsdetexte"/>
      </w:pPr>
      <w:r>
        <w:rPr>
          <w:iCs/>
          <w:i/>
        </w:rPr>
        <w:t xml:space="preserve">Document préparé par Datategy à l’attention des équipes ANDRITZ. Source markdown 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docs/compliance-2/fiche-hosting-ovh-andritz/main.md</w:t>
      </w:r>
      <w:r>
        <w:rPr>
          <w:iCs/>
          <w:i/>
        </w:rPr>
        <w:t xml:space="preserve">. Sortie Word générée via le pipeline Pandoc/reference.docx partagé avec CarakAI/METROPOLIS.</w:t>
      </w:r>
    </w:p>
    <w:bookmarkEnd w:id="70"/>
    <w:bookmarkEnd w:id="71"/>
    <w:bookmarkEnd w:id="72"/>
    <w:sectPr w:rsidR="000B62D7" w:rsidRPr="00D93E67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15721500"/>
      <w:docPartObj>
        <w:docPartGallery w:val="Page Numbers (Bottom of Page)"/>
        <w:docPartUnique/>
      </w:docPartObj>
    </w:sdtPr>
    <w:sdtContent>
      <w:p w14:paraId="554F1619" w14:textId="2FC745C7" w:rsidR="00D93E67" w:rsidRDefault="00D93E67" w:rsidP="006827C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EF0C1FE" w14:textId="77777777" w:rsidR="00D93E67" w:rsidRDefault="00D93E67" w:rsidP="00D93E6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3502990"/>
      <w:docPartObj>
        <w:docPartGallery w:val="Page Numbers (Bottom of Page)"/>
        <w:docPartUnique/>
      </w:docPartObj>
    </w:sdtPr>
    <w:sdtContent>
      <w:p w14:paraId="2A54D59F" w14:textId="36D1C241" w:rsidR="00D93E67" w:rsidRDefault="00D93E67" w:rsidP="006827C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DB816F0" w14:textId="77777777" w:rsidR="00D93E67" w:rsidRDefault="00D93E67" w:rsidP="00D93E67">
    <w:pPr>
      <w:pStyle w:val="Pieddepage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DFB1" w14:textId="0E06D224" w:rsidR="00D93E67" w:rsidRDefault="00D93E67">
    <w:pPr>
      <w:pStyle w:val="En-tte"/>
    </w:pPr>
    <w:r>
      <w:rPr>
        <w:noProof/>
      </w:rPr>
      <w:drawing>
        <wp:inline distT="0" distB="0" distL="0" distR="0" wp14:anchorId="7F7EE96F" wp14:editId="3A54AC3D">
          <wp:extent cx="431074" cy="291297"/>
          <wp:effectExtent l="0" t="0" r="0" b="0"/>
          <wp:docPr id="8341627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162785" name="Picture 83416278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106" cy="314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60029F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BC81FBE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C0785A6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404030472" w:numId="1">
    <w:abstractNumId w:val="0"/>
  </w:num>
  <w:num w16cid:durableId="1176653416" w:numId="2">
    <w:abstractNumId w:val="1"/>
  </w:num>
  <w:num w16cid:durableId="1289505001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6655128" w:numId="4">
    <w:abstractNumId w:val="1"/>
  </w:num>
  <w:num w16cid:durableId="649212847" w:numId="5">
    <w:abstractNumId w:val="1"/>
  </w:num>
  <w:num w16cid:durableId="1099645750" w:numId="6">
    <w:abstractNumId w:val="1"/>
  </w:num>
  <w:num w16cid:durableId="1227839486" w:numId="7">
    <w:abstractNumId w:val="1"/>
  </w:num>
  <w:num w16cid:durableId="1250624823" w:numId="8">
    <w:abstractNumId w:val="1"/>
  </w:num>
  <w:num w16cid:durableId="848325497" w:numId="9">
    <w:abstractNumId w:val="1"/>
  </w:num>
  <w:num w16cid:durableId="1981573606" w:numId="10">
    <w:abstractNumId w:val="1"/>
  </w:num>
  <w:num w16cid:durableId="1251044857" w:numId="11">
    <w:abstractNumId w:val="1"/>
  </w:num>
  <w:num w16cid:durableId="1401833017" w:numId="12">
    <w:abstractNumId w:val="1"/>
  </w:num>
  <w:num w16cid:durableId="121772948" w:numId="13">
    <w:abstractNumId w:val="1"/>
  </w:num>
  <w:num w16cid:durableId="1443958140" w:numId="14">
    <w:abstractNumId w:val="1"/>
  </w:num>
  <w:num w16cid:durableId="1731879237" w:numId="15">
    <w:abstractNumId w:val="1"/>
  </w:num>
  <w:num w16cid:durableId="1630359192" w:numId="16">
    <w:abstractNumId w:val="1"/>
  </w:num>
  <w:num w16cid:durableId="1070880993" w:numId="17">
    <w:abstractNumId w:val="1"/>
  </w:num>
  <w:num w16cid:durableId="723220432" w:numId="18">
    <w:abstractNumId w:val="1"/>
  </w:num>
  <w:num w16cid:durableId="953176120" w:numId="19">
    <w:abstractNumId w:val="1"/>
  </w:num>
  <w:num w16cid:durableId="56905788" w:numId="20">
    <w:abstractNumId w:val="1"/>
  </w:num>
  <w:num w16cid:durableId="994989541" w:numId="21">
    <w:abstractNumId w:val="1"/>
  </w:num>
  <w:num w16cid:durableId="1508137912" w:numId="22">
    <w:abstractNumId w:val="1"/>
  </w:num>
  <w:num w16cid:durableId="1975674155" w:numId="2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0"/>
  <w:embedSystemFonts/>
  <w:proofState w:grammar="clean" w:spelling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ous-titre" w:type="paragraph">
    <w:name w:val="Subtitle"/>
    <w:basedOn w:val="Titre"/>
    <w:next w:val="Corpsdetex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uiPriority w:val="99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ableauGrille4-Accentuation1" w:type="table">
    <w:name w:val="Grid Table 4 Accent 1"/>
    <w:basedOn w:val="TableauNormal"/>
    <w:uiPriority w:val="49"/>
    <w:rsid w:val="00D93E67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Grilledutableau" w:type="table">
    <w:name w:val="Table Grid"/>
    <w:basedOn w:val="TableauNormal"/>
    <w:rsid w:val="00D93E6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rsid w:val="00D93E67"/>
    <w:pPr>
      <w:tabs>
        <w:tab w:pos="4513" w:val="center"/>
        <w:tab w:pos="9026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D93E67"/>
  </w:style>
  <w:style w:styleId="Pieddepage" w:type="paragraph">
    <w:name w:val="footer"/>
    <w:basedOn w:val="Normal"/>
    <w:link w:val="PieddepageCar"/>
    <w:rsid w:val="00D93E67"/>
    <w:pPr>
      <w:tabs>
        <w:tab w:pos="4513" w:val="center"/>
        <w:tab w:pos="9026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D93E67"/>
  </w:style>
  <w:style w:styleId="Numrodepage" w:type="character">
    <w:name w:val="page number"/>
    <w:basedOn w:val="Policepardfaut"/>
    <w:rsid w:val="00D93E67"/>
  </w:style>
  <w:style w:styleId="TM1" w:type="paragraph">
    <w:name w:val="toc 1"/>
    <w:basedOn w:val="Normal"/>
    <w:next w:val="Normal"/>
    <w:autoRedefine/>
    <w:uiPriority w:val="39"/>
    <w:rsid w:val="00D93E67"/>
    <w:pPr>
      <w:spacing w:after="120" w:before="120"/>
    </w:pPr>
    <w:rPr>
      <w:b/>
      <w:bCs/>
      <w:caps/>
      <w:sz w:val="20"/>
      <w:szCs w:val="20"/>
    </w:rPr>
  </w:style>
  <w:style w:styleId="TM2" w:type="paragraph">
    <w:name w:val="toc 2"/>
    <w:basedOn w:val="Normal"/>
    <w:next w:val="Normal"/>
    <w:autoRedefine/>
    <w:uiPriority w:val="39"/>
    <w:rsid w:val="00D93E67"/>
    <w:pPr>
      <w:spacing w:after="0"/>
      <w:ind w:left="240"/>
    </w:pPr>
    <w:rPr>
      <w:smallCaps/>
      <w:sz w:val="20"/>
      <w:szCs w:val="20"/>
    </w:rPr>
  </w:style>
  <w:style w:styleId="TM3" w:type="paragraph">
    <w:name w:val="toc 3"/>
    <w:basedOn w:val="Normal"/>
    <w:next w:val="Normal"/>
    <w:autoRedefine/>
    <w:uiPriority w:val="39"/>
    <w:rsid w:val="00D93E67"/>
    <w:pPr>
      <w:spacing w:after="0"/>
      <w:ind w:left="480"/>
    </w:pPr>
    <w:rPr>
      <w:i/>
      <w:iCs/>
      <w:sz w:val="20"/>
      <w:szCs w:val="20"/>
    </w:rPr>
  </w:style>
  <w:style w:styleId="TM4" w:type="paragraph">
    <w:name w:val="toc 4"/>
    <w:basedOn w:val="Normal"/>
    <w:next w:val="Normal"/>
    <w:autoRedefine/>
    <w:rsid w:val="00D93E67"/>
    <w:pPr>
      <w:spacing w:after="0"/>
      <w:ind w:left="720"/>
    </w:pPr>
    <w:rPr>
      <w:sz w:val="18"/>
      <w:szCs w:val="18"/>
    </w:rPr>
  </w:style>
  <w:style w:styleId="TM5" w:type="paragraph">
    <w:name w:val="toc 5"/>
    <w:basedOn w:val="Normal"/>
    <w:next w:val="Normal"/>
    <w:autoRedefine/>
    <w:rsid w:val="00D93E67"/>
    <w:pPr>
      <w:spacing w:after="0"/>
      <w:ind w:left="960"/>
    </w:pPr>
    <w:rPr>
      <w:sz w:val="18"/>
      <w:szCs w:val="18"/>
    </w:rPr>
  </w:style>
  <w:style w:styleId="TM6" w:type="paragraph">
    <w:name w:val="toc 6"/>
    <w:basedOn w:val="Normal"/>
    <w:next w:val="Normal"/>
    <w:autoRedefine/>
    <w:rsid w:val="00D93E67"/>
    <w:pPr>
      <w:spacing w:after="0"/>
      <w:ind w:left="1200"/>
    </w:pPr>
    <w:rPr>
      <w:sz w:val="18"/>
      <w:szCs w:val="18"/>
    </w:rPr>
  </w:style>
  <w:style w:styleId="TM7" w:type="paragraph">
    <w:name w:val="toc 7"/>
    <w:basedOn w:val="Normal"/>
    <w:next w:val="Normal"/>
    <w:autoRedefine/>
    <w:rsid w:val="00D93E67"/>
    <w:pPr>
      <w:spacing w:after="0"/>
      <w:ind w:left="1440"/>
    </w:pPr>
    <w:rPr>
      <w:sz w:val="18"/>
      <w:szCs w:val="18"/>
    </w:rPr>
  </w:style>
  <w:style w:styleId="TM8" w:type="paragraph">
    <w:name w:val="toc 8"/>
    <w:basedOn w:val="Normal"/>
    <w:next w:val="Normal"/>
    <w:autoRedefine/>
    <w:rsid w:val="00D93E67"/>
    <w:pPr>
      <w:spacing w:after="0"/>
      <w:ind w:left="1680"/>
    </w:pPr>
    <w:rPr>
      <w:sz w:val="18"/>
      <w:szCs w:val="18"/>
    </w:rPr>
  </w:style>
  <w:style w:styleId="TM9" w:type="paragraph">
    <w:name w:val="toc 9"/>
    <w:basedOn w:val="Normal"/>
    <w:next w:val="Normal"/>
    <w:autoRedefine/>
    <w:rsid w:val="00D93E67"/>
    <w:pPr>
      <w:spacing w:after="0"/>
      <w:ind w:left="1920"/>
    </w:pPr>
    <w:rPr>
      <w:sz w:val="18"/>
      <w:szCs w:val="18"/>
    </w:rPr>
  </w:style>
  <w:style w:styleId="Marquedecommentaire" w:type="character">
    <w:name w:val="annotation reference"/>
    <w:basedOn w:val="Policepardfaut"/>
    <w:rsid w:val="008F23ED"/>
    <w:rPr>
      <w:sz w:val="16"/>
      <w:szCs w:val="16"/>
    </w:rPr>
  </w:style>
  <w:style w:styleId="Commentaire" w:type="paragraph">
    <w:name w:val="annotation text"/>
    <w:basedOn w:val="Normal"/>
    <w:link w:val="CommentaireCar"/>
    <w:rsid w:val="008F23ED"/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rsid w:val="008F23ED"/>
    <w:rPr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rsid w:val="008F23ED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rsid w:val="008F23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hyperlink" Id="rId37" Target="https://cispe.cloud/" TargetMode="External" /><Relationship Type="http://schemas.openxmlformats.org/officeDocument/2006/relationships/hyperlink" Id="rId36" Target="https://cloudsecurityalliance.org/star/registry" TargetMode="External" /><Relationship Type="http://schemas.openxmlformats.org/officeDocument/2006/relationships/hyperlink" Id="rId54" Target="https://corporate.ovhcloud.com/fr/" TargetMode="External" /><Relationship Type="http://schemas.openxmlformats.org/officeDocument/2006/relationships/hyperlink" Id="rId49" Target="https://help.ovhcloud.com/" TargetMode="External" /><Relationship Type="http://schemas.openxmlformats.org/officeDocument/2006/relationships/hyperlink" Id="rId39" Target="https://help.ovhcloud.com/csm/fr-account-issp?id=kb_article_view&amp;sysparm_article=KB0043105" TargetMode="External" /><Relationship Type="http://schemas.openxmlformats.org/officeDocument/2006/relationships/hyperlink" Id="rId47" Target="https://www.ovhcloud.com/fr/about-us/data-sovereignty/" TargetMode="External" /><Relationship Type="http://schemas.openxmlformats.org/officeDocument/2006/relationships/hyperlink" Id="rId21" Target="https://www.ovhcloud.com/fr/compliance/" TargetMode="External" /><Relationship Type="http://schemas.openxmlformats.org/officeDocument/2006/relationships/hyperlink" Id="rId34" Target="https://www.ovhcloud.com/fr/compliance/c5/" TargetMode="External" /><Relationship Type="http://schemas.openxmlformats.org/officeDocument/2006/relationships/hyperlink" Id="rId30" Target="https://www.ovhcloud.com/fr/compliance/hds/" TargetMode="External" /><Relationship Type="http://schemas.openxmlformats.org/officeDocument/2006/relationships/hyperlink" Id="rId35" Target="https://www.ovhcloud.com/fr/compliance/hipaa-hitech/" TargetMode="External" /><Relationship Type="http://schemas.openxmlformats.org/officeDocument/2006/relationships/hyperlink" Id="rId38" Target="https://www.ovhcloud.com/fr/compliance/iso-14001/" TargetMode="External" /><Relationship Type="http://schemas.openxmlformats.org/officeDocument/2006/relationships/hyperlink" Id="rId28" Target="https://www.ovhcloud.com/fr/compliance/iso-27001-27017-27018/" TargetMode="External" /><Relationship Type="http://schemas.openxmlformats.org/officeDocument/2006/relationships/hyperlink" Id="rId29" Target="https://www.ovhcloud.com/fr/compliance/iso-27701/" TargetMode="External" /><Relationship Type="http://schemas.openxmlformats.org/officeDocument/2006/relationships/hyperlink" Id="rId33" Target="https://www.ovhcloud.com/fr/compliance/pci-dss/" TargetMode="External" /><Relationship Type="http://schemas.openxmlformats.org/officeDocument/2006/relationships/hyperlink" Id="rId31" Target="https://www.ovhcloud.com/fr/compliance/secnumcloud/" TargetMode="External" /><Relationship Type="http://schemas.openxmlformats.org/officeDocument/2006/relationships/hyperlink" Id="rId32" Target="https://www.ovhcloud.com/fr/compliance/soc-1-2-3/" TargetMode="External" /><Relationship Type="http://schemas.openxmlformats.org/officeDocument/2006/relationships/hyperlink" Id="rId42" Target="https://www.ovhcloud.com/fr/personal-data-protection/" TargetMode="External" /><Relationship Type="http://schemas.openxmlformats.org/officeDocument/2006/relationships/hyperlink" Id="rId43" Target="https://www.ovhcloud.com/fr/personal-data-protection/gdpr/" TargetMode="External" /><Relationship Type="http://schemas.openxmlformats.org/officeDocument/2006/relationships/hyperlink" Id="rId45" Target="https://www.ovhcloud.com/fr/personal-data-protection/legal-privacy-security/" TargetMode="External" /><Relationship Type="http://schemas.openxmlformats.org/officeDocument/2006/relationships/hyperlink" Id="rId44" Target="https://www.ovhcloud.com/fr/personal-data-protection/security/" TargetMode="External" /><Relationship Type="http://schemas.openxmlformats.org/officeDocument/2006/relationships/hyperlink" Id="rId48" Target="https://www.ovhcloud.com/fr/public-cloud/kubernetes/" TargetMode="External" /><Relationship Type="http://schemas.openxmlformats.org/officeDocument/2006/relationships/hyperlink" Id="rId41" Target="https://www.ovhcloud.com/fr/terms-and-conditions/contracts/" TargetMode="External" /><Relationship Type="http://schemas.openxmlformats.org/officeDocument/2006/relationships/hyperlink" Id="rId46" Target="https://www.ovhcloud.com/fr/terms-and-conditions/privacy-polic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ispe.cloud/" TargetMode="External" /><Relationship Type="http://schemas.openxmlformats.org/officeDocument/2006/relationships/hyperlink" Id="rId36" Target="https://cloudsecurityalliance.org/star/registry" TargetMode="External" /><Relationship Type="http://schemas.openxmlformats.org/officeDocument/2006/relationships/hyperlink" Id="rId54" Target="https://corporate.ovhcloud.com/fr/" TargetMode="External" /><Relationship Type="http://schemas.openxmlformats.org/officeDocument/2006/relationships/hyperlink" Id="rId49" Target="https://help.ovhcloud.com/" TargetMode="External" /><Relationship Type="http://schemas.openxmlformats.org/officeDocument/2006/relationships/hyperlink" Id="rId39" Target="https://help.ovhcloud.com/csm/fr-account-issp?id=kb_article_view&amp;sysparm_article=KB0043105" TargetMode="External" /><Relationship Type="http://schemas.openxmlformats.org/officeDocument/2006/relationships/hyperlink" Id="rId47" Target="https://www.ovhcloud.com/fr/about-us/data-sovereignty/" TargetMode="External" /><Relationship Type="http://schemas.openxmlformats.org/officeDocument/2006/relationships/hyperlink" Id="rId21" Target="https://www.ovhcloud.com/fr/compliance/" TargetMode="External" /><Relationship Type="http://schemas.openxmlformats.org/officeDocument/2006/relationships/hyperlink" Id="rId34" Target="https://www.ovhcloud.com/fr/compliance/c5/" TargetMode="External" /><Relationship Type="http://schemas.openxmlformats.org/officeDocument/2006/relationships/hyperlink" Id="rId30" Target="https://www.ovhcloud.com/fr/compliance/hds/" TargetMode="External" /><Relationship Type="http://schemas.openxmlformats.org/officeDocument/2006/relationships/hyperlink" Id="rId35" Target="https://www.ovhcloud.com/fr/compliance/hipaa-hitech/" TargetMode="External" /><Relationship Type="http://schemas.openxmlformats.org/officeDocument/2006/relationships/hyperlink" Id="rId38" Target="https://www.ovhcloud.com/fr/compliance/iso-14001/" TargetMode="External" /><Relationship Type="http://schemas.openxmlformats.org/officeDocument/2006/relationships/hyperlink" Id="rId28" Target="https://www.ovhcloud.com/fr/compliance/iso-27001-27017-27018/" TargetMode="External" /><Relationship Type="http://schemas.openxmlformats.org/officeDocument/2006/relationships/hyperlink" Id="rId29" Target="https://www.ovhcloud.com/fr/compliance/iso-27701/" TargetMode="External" /><Relationship Type="http://schemas.openxmlformats.org/officeDocument/2006/relationships/hyperlink" Id="rId33" Target="https://www.ovhcloud.com/fr/compliance/pci-dss/" TargetMode="External" /><Relationship Type="http://schemas.openxmlformats.org/officeDocument/2006/relationships/hyperlink" Id="rId31" Target="https://www.ovhcloud.com/fr/compliance/secnumcloud/" TargetMode="External" /><Relationship Type="http://schemas.openxmlformats.org/officeDocument/2006/relationships/hyperlink" Id="rId32" Target="https://www.ovhcloud.com/fr/compliance/soc-1-2-3/" TargetMode="External" /><Relationship Type="http://schemas.openxmlformats.org/officeDocument/2006/relationships/hyperlink" Id="rId42" Target="https://www.ovhcloud.com/fr/personal-data-protection/" TargetMode="External" /><Relationship Type="http://schemas.openxmlformats.org/officeDocument/2006/relationships/hyperlink" Id="rId43" Target="https://www.ovhcloud.com/fr/personal-data-protection/gdpr/" TargetMode="External" /><Relationship Type="http://schemas.openxmlformats.org/officeDocument/2006/relationships/hyperlink" Id="rId45" Target="https://www.ovhcloud.com/fr/personal-data-protection/legal-privacy-security/" TargetMode="External" /><Relationship Type="http://schemas.openxmlformats.org/officeDocument/2006/relationships/hyperlink" Id="rId44" Target="https://www.ovhcloud.com/fr/personal-data-protection/security/" TargetMode="External" /><Relationship Type="http://schemas.openxmlformats.org/officeDocument/2006/relationships/hyperlink" Id="rId48" Target="https://www.ovhcloud.com/fr/public-cloud/kubernetes/" TargetMode="External" /><Relationship Type="http://schemas.openxmlformats.org/officeDocument/2006/relationships/hyperlink" Id="rId41" Target="https://www.ovhcloud.com/fr/terms-and-conditions/contracts/" TargetMode="External" /><Relationship Type="http://schemas.openxmlformats.org/officeDocument/2006/relationships/hyperlink" Id="rId46" Target="https://www.ovhcloud.com/fr/terms-and-conditions/privacy-policy/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5523</Words>
  <Characters>30380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2026-04-30T08:09:00Z</dcterms:created>
  <dcterms:modified xsi:type="dcterms:W3CDTF">2026-04-30T08:09:00Z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