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i w:val="0"/>
          <w:color w:val="0B2545"/>
          <w:sz w:val="44"/>
        </w:rPr>
        <w:t>Agentium — Hyperviseur, décision et industrialisation de l'IA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Briefing pour qui prépare, présente ou pilote Agentium auprès d’un </w:t>
      </w:r>
      <w:r>
        <w:rPr>
          <w:rFonts w:ascii="Calibri" w:hAnsi="Calibri" w:eastAsia="Calibri"/>
          <w:b/>
          <w:i/>
          <w:color w:val="596371"/>
          <w:sz w:val="22"/>
        </w:rPr>
        <w:t>C-level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d’un </w:t>
      </w:r>
      <w:r>
        <w:rPr>
          <w:rFonts w:ascii="Calibri" w:hAnsi="Calibri" w:eastAsia="Calibri"/>
          <w:b/>
          <w:i/>
          <w:color w:val="596371"/>
          <w:sz w:val="22"/>
        </w:rPr>
        <w:t>métier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ou d’un </w:t>
      </w:r>
      <w:r>
        <w:rPr>
          <w:rFonts w:ascii="Calibri" w:hAnsi="Calibri" w:eastAsia="Calibri"/>
          <w:b/>
          <w:i/>
          <w:color w:val="596371"/>
          <w:sz w:val="22"/>
        </w:rPr>
        <w:t>décideur opérationnel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Ce n’est pas le contrat d’implémentation. Les sources normatives restent </w:t>
      </w:r>
      <w:r>
        <w:rPr>
          <w:rFonts w:ascii="Calibri" w:hAnsi="Calibri" w:eastAsia="Calibri"/>
          <w:b w:val="0"/>
          <w:i/>
          <w:color w:val="596371"/>
          <w:sz w:val="22"/>
        </w:rPr>
        <w:t>`mental-model.md`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et </w:t>
      </w:r>
      <w:r>
        <w:rPr>
          <w:rFonts w:ascii="Calibri" w:hAnsi="Calibri" w:eastAsia="Calibri"/>
          <w:b w:val="0"/>
          <w:i/>
          <w:color w:val="596371"/>
          <w:sz w:val="22"/>
        </w:rPr>
        <w:t>`agentium-reference.md`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La preuve d’adoption utilisateur est dans </w:t>
      </w:r>
      <w:r>
        <w:rPr>
          <w:rFonts w:ascii="Calibri" w:hAnsi="Calibri" w:eastAsia="Calibri"/>
          <w:b w:val="0"/>
          <w:i/>
          <w:color w:val="596371"/>
          <w:sz w:val="22"/>
        </w:rPr>
        <w:t>`agentium-adoption-roadmap.md`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— aujourd’hui </w:t>
      </w:r>
      <w:r>
        <w:rPr>
          <w:rFonts w:ascii="Calibri" w:hAnsi="Calibri" w:eastAsia="Calibri"/>
          <w:b/>
          <w:i/>
          <w:color w:val="596371"/>
          <w:sz w:val="22"/>
        </w:rPr>
        <w:t>implémentée, opt-in, non acceptée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User stories (format papAI, objets Agentium)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`agentium-hypervisor-user-stories.md`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MVP COMEX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`agentium-hypervisor-mvp-comex.md`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Deck de présentation :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`deck-agentium-decision-adoption.md`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Pack Office (régénérer avec </w:t>
      </w:r>
      <w:r>
        <w:rPr>
          <w:rFonts w:ascii="Consolas" w:hAnsi="Consolas" w:eastAsia="Consolas"/>
          <w:b w:val="0"/>
          <w:i/>
          <w:color w:val="0E6B6A"/>
          <w:sz w:val="22"/>
        </w:rPr>
        <w:t>python3 docs/render/build_hypervisor_decision_pack.py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) 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`agentium-hypervisor-decision-strategy.fr.docx`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`deck-agentium-decision-adoption.fr.pptx`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English twins: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`agentium-hypervisor-decision-strategy.en.md`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`agentium-hypervisor-decision-strategy.en.docx`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`deck-agentium-decision-adoption.en.pptx`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1. Ce qu’Agentium change dans la décision d’entreprise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Les plateformes « agent builder » s’arrêtent au composer : un prompt, un outil, une démo. Elles ne disent pas </w:t>
      </w:r>
      <w:r>
        <w:rPr>
          <w:rFonts w:ascii="Calibri" w:hAnsi="Calibri" w:eastAsia="Calibri"/>
          <w:b/>
          <w:i w:val="0"/>
          <w:color w:val="151A23"/>
          <w:sz w:val="22"/>
        </w:rPr>
        <w:t>quel objectif métier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servi, </w:t>
      </w:r>
      <w:r>
        <w:rPr>
          <w:rFonts w:ascii="Calibri" w:hAnsi="Calibri" w:eastAsia="Calibri"/>
          <w:b/>
          <w:i w:val="0"/>
          <w:color w:val="151A23"/>
          <w:sz w:val="22"/>
        </w:rPr>
        <w:t>ce qui s’est réellement passé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qui a tranché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ni </w:t>
      </w:r>
      <w:r>
        <w:rPr>
          <w:rFonts w:ascii="Calibri" w:hAnsi="Calibri" w:eastAsia="Calibri"/>
          <w:b/>
          <w:i w:val="0"/>
          <w:color w:val="151A23"/>
          <w:sz w:val="22"/>
        </w:rPr>
        <w:t>si l’organisation s’améliore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Agentium industrialise des </w:t>
      </w:r>
      <w:r>
        <w:rPr>
          <w:rFonts w:ascii="Calibri" w:hAnsi="Calibri" w:eastAsia="Calibri"/>
          <w:b/>
          <w:i w:val="0"/>
          <w:color w:val="151A23"/>
          <w:sz w:val="22"/>
        </w:rPr>
        <w:t>Systems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des systèmes intelligents liés à des capacités métier, exécutés sous politiques, avec une preuve canonique.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La règle produit (mental model §0.0) 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Une </w:t>
      </w:r>
      <w:r>
        <w:rPr>
          <w:rFonts w:ascii="Calibri" w:hAnsi="Calibri" w:eastAsia="Calibri"/>
          <w:b/>
          <w:i w:val="0"/>
          <w:color w:val="151A23"/>
          <w:sz w:val="22"/>
        </w:rPr>
        <w:t>application métier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une </w:t>
      </w:r>
      <w:r>
        <w:rPr>
          <w:rFonts w:ascii="Calibri" w:hAnsi="Calibri" w:eastAsia="Calibri"/>
          <w:b/>
          <w:i w:val="0"/>
          <w:color w:val="151A23"/>
          <w:sz w:val="22"/>
        </w:rPr>
        <w:t>conversation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sont deux façons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première classe d’utiliser et de contrôler un System publié.</w:t>
      </w:r>
    </w:p>
    <w:p>
      <w:pPr>
        <w:pStyle w:val="ListBullet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sert la tâche. </w:t>
      </w:r>
      <w:r>
        <w:rPr>
          <w:rFonts w:ascii="Calibri" w:hAnsi="Calibri" w:eastAsia="Calibri"/>
          <w:b/>
          <w:i w:val="0"/>
          <w:color w:val="151A23"/>
          <w:sz w:val="22"/>
        </w:rPr>
        <w:t>Cockpit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expose la construction, l’opération,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l’amélioration, l’impact et l’administration.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succès est un </w:t>
      </w:r>
      <w:r>
        <w:rPr>
          <w:rFonts w:ascii="Calibri" w:hAnsi="Calibri" w:eastAsia="Calibri"/>
          <w:b/>
          <w:i w:val="0"/>
          <w:color w:val="151A23"/>
          <w:sz w:val="22"/>
        </w:rPr>
        <w:t>résultat vérifiable</w:t>
      </w:r>
      <w:r>
        <w:rPr>
          <w:rFonts w:ascii="Calibri" w:hAnsi="Calibri" w:eastAsia="Calibri"/>
          <w:b w:val="0"/>
          <w:i w:val="0"/>
          <w:color w:val="151A23"/>
          <w:sz w:val="22"/>
        </w:rPr>
        <w:t>, puis une **amélioration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opérationnelle ou économique**. Le débit et la latence expliquent la santé d’exécution ; ils ne prouvent pas un gain métier.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Une valeur déclarée, une projection, une mesure opérationnelle et un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impact économique attesté restent </w:t>
      </w:r>
      <w:r>
        <w:rPr>
          <w:rFonts w:ascii="Calibri" w:hAnsi="Calibri" w:eastAsia="Calibri"/>
          <w:b/>
          <w:i w:val="0"/>
          <w:color w:val="151A23"/>
          <w:sz w:val="22"/>
        </w:rPr>
        <w:t>distincts</w:t>
      </w:r>
      <w:r>
        <w:rPr>
          <w:rFonts w:ascii="Calibri" w:hAnsi="Calibri" w:eastAsia="Calibri"/>
          <w:b w:val="0"/>
          <w:i w:val="0"/>
          <w:color w:val="151A23"/>
          <w:sz w:val="22"/>
        </w:rPr>
        <w:t>. Une heure gagnée ou un euro économisé exigent une baseline, des unités comparables et une preuve attribuable. Un Run terminé ne suffit pas.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Chaîne canonique 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System → Run → Evaluation → Decision →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Maillon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Rôle pour la stratégie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System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Intention industrialisée : objectif, graphe, contexte, politiques.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Run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exécution traçable (coût, latence, contexte, provenance).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Evaluation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Score et dimensions — la qualité n’est pas un ressenti.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Decision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Proposition humaine ou machine : revue, recommandation, scénario de valeur.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Action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Acceptation, rejet, replay, promotion d’une réponse canonique, ou enactment gouverné.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L’Hyperviseur est la </w:t>
      </w:r>
      <w:r>
        <w:rPr>
          <w:rFonts w:ascii="Calibri" w:hAnsi="Calibri" w:eastAsia="Calibri"/>
          <w:b/>
          <w:i w:val="0"/>
          <w:color w:val="151A23"/>
          <w:sz w:val="22"/>
        </w:rPr>
        <w:t>vue portefeuille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de cette chaîne. Il n’est pas l’endroit où l’on « appuie sur un bouton magique » pour changer le runtime.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2. Observer, consommer, monitorer, décider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Quatre verbes, quatre contrats. Les mélanger est la principale erreur de démo auprès d’un COMEX.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Verbe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Question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Surface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que la personne emporte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Observer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Qu’est-ce que le portefeuille a rendu ? Sur quelle preuve 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(rail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Impact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si l’expérience d’adoption est active)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registre : mesuré / déclaré / absent. Pas un zéro inventé.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Consommer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Quelle tâche dois-je finir maintenant 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/work/:slug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Studio (ex.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/work/pr-to-po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 résultat vérifiable, des citations, un gate humain si la politique l’exige.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Monitorer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Qu’est-ce qui tourne, attend, dérive 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/runs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/observability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/steering/review-queue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Diagnostics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Santé d’exécution et files d’attente — explicitement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le succès métier.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Décider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Qu’est-ce qui attend une signature, et où ça s’enacte ?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Feed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(signal) · gates Work/Studio · boucle de valeur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Steer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 état de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Decision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+ un audit. Le modèle ne peut pas signer à sa place.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0E6B6A"/>
          <w:sz w:val="22"/>
        </w:rPr>
        <w:t>Work ↔ Cockpit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un lien </w:t>
      </w:r>
      <w:r>
        <w:rPr>
          <w:rFonts w:ascii="Calibri" w:hAnsi="Calibri" w:eastAsia="Calibri"/>
          <w:b/>
          <w:i w:val="0"/>
          <w:color w:val="151A23"/>
          <w:sz w:val="22"/>
        </w:rPr>
        <w:t>RBAC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un interrupteur de thème. Les identifiants, l’audit et les deep links sont partagés.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Mots interdits à l’écran et dans un brief : </w:t>
      </w:r>
      <w:r>
        <w:rPr>
          <w:rFonts w:ascii="Calibri" w:hAnsi="Calibri" w:eastAsia="Calibri"/>
          <w:b/>
          <w:i w:val="0"/>
          <w:color w:val="151A23"/>
          <w:sz w:val="22"/>
        </w:rPr>
        <w:t>Desk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Board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workflow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/ </w:t>
      </w:r>
      <w:r>
        <w:rPr>
          <w:rFonts w:ascii="Calibri" w:hAnsi="Calibri" w:eastAsia="Calibri"/>
          <w:b/>
          <w:i w:val="0"/>
          <w:color w:val="151A23"/>
          <w:sz w:val="22"/>
        </w:rPr>
        <w:t>pipeline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(dire </w:t>
      </w:r>
      <w:r>
        <w:rPr>
          <w:rFonts w:ascii="Calibri" w:hAnsi="Calibri" w:eastAsia="Calibri"/>
          <w:b/>
          <w:i w:val="0"/>
          <w:color w:val="151A23"/>
          <w:sz w:val="22"/>
        </w:rPr>
        <w:t>Flow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), </w:t>
      </w:r>
      <w:r>
        <w:rPr>
          <w:rFonts w:ascii="Calibri" w:hAnsi="Calibri" w:eastAsia="Calibri"/>
          <w:b/>
          <w:i w:val="0"/>
          <w:color w:val="151A23"/>
          <w:sz w:val="22"/>
        </w:rPr>
        <w:t>job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(dire </w:t>
      </w:r>
      <w:r>
        <w:rPr>
          <w:rFonts w:ascii="Calibri" w:hAnsi="Calibri" w:eastAsia="Calibri"/>
          <w:b/>
          <w:i w:val="0"/>
          <w:color w:val="151A23"/>
          <w:sz w:val="22"/>
        </w:rPr>
        <w:t>Run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), </w:t>
      </w:r>
      <w:r>
        <w:rPr>
          <w:rFonts w:ascii="Calibri" w:hAnsi="Calibri" w:eastAsia="Calibri"/>
          <w:b/>
          <w:i w:val="0"/>
          <w:color w:val="151A23"/>
          <w:sz w:val="22"/>
        </w:rPr>
        <w:t>HITL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comme libellé (dire </w:t>
      </w:r>
      <w:r>
        <w:rPr>
          <w:rFonts w:ascii="Calibri" w:hAnsi="Calibri" w:eastAsia="Calibri"/>
          <w:b/>
          <w:i w:val="0"/>
          <w:color w:val="151A23"/>
          <w:sz w:val="22"/>
        </w:rPr>
        <w:t>approbation humaine</w:t>
      </w:r>
      <w:r>
        <w:rPr>
          <w:rFonts w:ascii="Calibri" w:hAnsi="Calibri" w:eastAsia="Calibri"/>
          <w:b w:val="0"/>
          <w:i w:val="0"/>
          <w:color w:val="151A23"/>
          <w:sz w:val="22"/>
        </w:rPr>
        <w:t>).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3. L’Hyperviseur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3.1 Une phrase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L’Hyperviseur est le </w:t>
      </w:r>
      <w:r>
        <w:rPr>
          <w:rFonts w:ascii="Calibri" w:hAnsi="Calibri" w:eastAsia="Calibri"/>
          <w:b/>
          <w:i w:val="0"/>
          <w:color w:val="151A23"/>
          <w:sz w:val="22"/>
        </w:rPr>
        <w:t>grand livre du portefeuille IA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ce que les Systems ont exécuté, ce que cela a coûté, ce qui est déclaré comme valeur, ce qui manque, et </w:t>
      </w:r>
      <w:r>
        <w:rPr>
          <w:rFonts w:ascii="Calibri" w:hAnsi="Calibri" w:eastAsia="Calibri"/>
          <w:b/>
          <w:i w:val="0"/>
          <w:color w:val="151A23"/>
          <w:sz w:val="22"/>
        </w:rPr>
        <w:t>ce qui attend une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Route unique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Le composant (v1 ou v2) dépend du flag workspace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settings.features.hypervisor_v2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Absent ou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false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→ v1.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Avec l’expérience d’adoption, le rail Cockpit relabelle cette zone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(FR). L’identifiant de navigation reste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Renommer l’onglet </w:t>
      </w:r>
      <w:r>
        <w:rPr>
          <w:rFonts w:ascii="Calibri" w:hAnsi="Calibri" w:eastAsia="Calibri"/>
          <w:b/>
          <w:i w:val="0"/>
          <w:color w:val="151A23"/>
          <w:sz w:val="22"/>
        </w:rPr>
        <w:t>n’établit pas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 outcome économique.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3.2 Deux lectures, un même objet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/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v1 — Bilan de valeur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v2 — Grand Livre</w:t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 xml:space="preserve"> (flag </w:t>
            </w:r>
            <w:r>
              <w:rPr>
                <w:rFonts w:ascii="Consolas" w:hAnsi="Consolas" w:eastAsia="Consolas"/>
                <w:b/>
                <w:i w:val="0"/>
                <w:color w:val="0B2545"/>
                <w:sz w:val="18"/>
              </w:rPr>
              <w:t>hypervisor_v2</w:t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Promesse UI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Valeur nette générée » — coût, valeur estimée, ROI, signaux, recommandations SCAN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Ce que le portefeuille a rendu » — encre = mesuré, teal = déclaré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Strates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Hero + KPI + capacités + signaux + reco + décisions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Comprendre → Détailler → Décider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Vues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Une page, période WTD/MTD/QTD/30j/90j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Direction (heures, 90j) · Operations (runs, 30j) · Conformité (runs, 90j)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Boucle de valeur portefeuille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Oui — agrégat en lecture (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GET /hypervisor/value-loop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Non — le v2 est un registre instrumenté, pas le même tableau de bord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Décider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Accepter / Rejeter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Accepter / Rejeter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Les deux versions </w:t>
      </w:r>
      <w:r>
        <w:rPr>
          <w:rFonts w:ascii="Calibri" w:hAnsi="Calibri" w:eastAsia="Calibri"/>
          <w:b/>
          <w:i w:val="0"/>
          <w:color w:val="151A23"/>
          <w:sz w:val="22"/>
        </w:rPr>
        <w:t>acceptent et rejettent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Decision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proposée. Aucune des deux </w:t>
      </w:r>
      <w:r>
        <w:rPr>
          <w:rFonts w:ascii="Calibri" w:hAnsi="Calibri" w:eastAsia="Calibri"/>
          <w:b/>
          <w:i w:val="0"/>
          <w:color w:val="151A23"/>
          <w:sz w:val="22"/>
        </w:rPr>
        <w:t>n’enacte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 changement de policy via « Appliquer » : l’API répond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LEGACY_DECISION_ACTUATOR_DISABLED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renvoie vers la boucle de valeur d’un System. C’est volontaire, pas un bug de démo.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Phrase à dire : </w:t>
      </w:r>
      <w:r>
        <w:rPr>
          <w:rFonts w:ascii="Calibri" w:hAnsi="Calibri" w:eastAsia="Calibri"/>
          <w:b w:val="0"/>
          <w:i/>
          <w:color w:val="151A23"/>
          <w:sz w:val="22"/>
        </w:rPr>
        <w:t>« Valider ici enregistre un signal de décision. Modifier le comportement d’un System passe par Steer : Simuler → Approuver → Agir → Mesurer. »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3.3 Ce que le C-level doit lire (et ce qu’il ne doit pas)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À lire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La légende v2 : *encre = mesuré · teal = déclaré · une donnée absente n’est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pas un zéro*.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héros : heures rendues, runs exécutés, ou valeur </w:t>
      </w:r>
      <w:r>
        <w:rPr>
          <w:rFonts w:ascii="Calibri" w:hAnsi="Calibri" w:eastAsia="Calibri"/>
          <w:b/>
          <w:i w:val="0"/>
          <w:color w:val="151A23"/>
          <w:sz w:val="22"/>
        </w:rPr>
        <w:t>déclarée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libellé le dit.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Les </w:t>
      </w:r>
      <w:r>
        <w:rPr>
          <w:rFonts w:ascii="Calibri" w:hAnsi="Calibri" w:eastAsia="Calibri"/>
          <w:b/>
          <w:i w:val="0"/>
          <w:color w:val="151A23"/>
          <w:sz w:val="22"/>
        </w:rPr>
        <w:t>bases 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une base est signée, datée, versionnée. Sans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base, le produit montre l’unité native.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feed </w:t>
      </w:r>
      <w:r>
        <w:rPr>
          <w:rFonts w:ascii="Calibri" w:hAnsi="Calibri" w:eastAsia="Calibri"/>
          <w:b/>
          <w:i w:val="0"/>
          <w:color w:val="151A23"/>
          <w:sz w:val="22"/>
        </w:rPr>
        <w:t>Décisions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: </w:t>
      </w:r>
      <w:r>
        <w:rPr>
          <w:rFonts w:ascii="Calibri" w:hAnsi="Calibri" w:eastAsia="Calibri"/>
          <w:b w:val="0"/>
          <w:i/>
          <w:color w:val="151A23"/>
          <w:sz w:val="22"/>
        </w:rPr>
        <w:t>Ce qui attend une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En v1 seulement : le bandeau </w:t>
      </w:r>
      <w:r>
        <w:rPr>
          <w:rFonts w:ascii="Calibri" w:hAnsi="Calibri" w:eastAsia="Calibri"/>
          <w:b w:val="0"/>
          <w:i/>
          <w:color w:val="151A23"/>
          <w:sz w:val="22"/>
        </w:rPr>
        <w:t>Une simulation n’est pas une mesure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sur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l’agrégat de boucle de valeur.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À ne pas lire comme une vérité financière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La « valeur nette » v1 =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valeur estimée − coût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sur les Runs visibles.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chrome le qualifie de </w:t>
      </w:r>
      <w:r>
        <w:rPr>
          <w:rFonts w:ascii="Calibri" w:hAnsi="Calibri" w:eastAsia="Calibri"/>
          <w:b/>
          <w:i w:val="0"/>
          <w:color w:val="151A23"/>
          <w:sz w:val="22"/>
        </w:rPr>
        <w:t>modèle de ROI des capacités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ROI affiché quand le coût est quasi nul : le backend le </w:t>
      </w:r>
      <w:r>
        <w:rPr>
          <w:rFonts w:ascii="Calibri" w:hAnsi="Calibri" w:eastAsia="Calibri"/>
          <w:b/>
          <w:i w:val="0"/>
          <w:color w:val="151A23"/>
          <w:sz w:val="22"/>
        </w:rPr>
        <w:t>supprime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(seuil ~0,01) et plafonne l’affichage.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Un zéro géométrique sur un graphique v2 : remplissage de calendrier, pas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une mesure.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3.4 Mission Room n’est pas l’Hyperviseur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/hypervisor/mission-room/*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une </w:t>
      </w:r>
      <w:r>
        <w:rPr>
          <w:rFonts w:ascii="Calibri" w:hAnsi="Calibri" w:eastAsia="Calibri"/>
          <w:b/>
          <w:i w:val="0"/>
          <w:color w:val="151A23"/>
          <w:sz w:val="22"/>
        </w:rPr>
        <w:t>application de workspace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immersive (Sentinel-CI, Octocity, ou provider générique). Briefing ministériel, carte, veille, arbitrages de cabinet. Même préfixe d’URL, </w:t>
      </w:r>
      <w:r>
        <w:rPr>
          <w:rFonts w:ascii="Calibri" w:hAnsi="Calibri" w:eastAsia="Calibri"/>
          <w:b/>
          <w:i w:val="0"/>
          <w:color w:val="151A23"/>
          <w:sz w:val="22"/>
        </w:rPr>
        <w:t>autre contrat</w:t>
      </w:r>
      <w:r>
        <w:rPr>
          <w:rFonts w:ascii="Calibri" w:hAnsi="Calibri" w:eastAsia="Calibri"/>
          <w:b w:val="0"/>
          <w:i w:val="0"/>
          <w:color w:val="151A23"/>
          <w:sz w:val="22"/>
        </w:rPr>
        <w:t>. Ne pas les présenter comme le grand livre du portefeuille.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4. Où une décision devient une action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Trois plans, à ne pas fusionner.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Portefeuille          System                    Application</w:t>
        <w:br/>
        <w:t>/hypervisor           /systems/:id?lens=steer   /work/:slug  (Studio)</w:t>
        <w:br/>
        <w:t>accept / reject       Simulate → Approve        gate humain</w:t>
        <w:br/>
        <w:t>= signal              → Act → Measure           = approbation</w:t>
        <w:br/>
        <w:t xml:space="preserve">                      = enactment borné         requise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4.1 Signal portefeuille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POST /hypervisor/decisions/{id}/accept|reject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fait passer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proposed → accepted | rejected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Un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kind=review_required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peut nourrir le feedback d’évaluation. Un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scenario_id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(boucle de valeur) </w:t>
      </w:r>
      <w:r>
        <w:rPr>
          <w:rFonts w:ascii="Calibri" w:hAnsi="Calibri" w:eastAsia="Calibri"/>
          <w:b/>
          <w:i w:val="0"/>
          <w:color w:val="151A23"/>
          <w:sz w:val="22"/>
        </w:rPr>
        <w:t>refuse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ce chemin : il doit passer par l’orchestrateur de valeur.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4.2 Enactment — boucle de valeur (Lot 8)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Contrat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Outcome → Decision → Simulate → Approve → Act → Measure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Porte par </w:t>
      </w:r>
      <w:r>
        <w:rPr>
          <w:rFonts w:ascii="Calibri" w:hAnsi="Calibri" w:eastAsia="Calibri"/>
          <w:b/>
          <w:i w:val="0"/>
          <w:color w:val="151A23"/>
          <w:sz w:val="22"/>
        </w:rPr>
        <w:t>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>, dans Steer — pas par le portefeuille.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Gate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features.value_loop_v1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</w:t>
      </w:r>
      <w:r>
        <w:rPr>
          <w:rFonts w:ascii="Calibri" w:hAnsi="Calibri" w:eastAsia="Calibri"/>
          <w:b/>
          <w:i w:val="0"/>
          <w:color w:val="151A23"/>
          <w:sz w:val="22"/>
        </w:rPr>
        <w:t>et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activation du System (canari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settings.experience.value_loop_canary = "v1"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pendant le déploiement).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Premier actionneur, volontairement borné :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control_policy.guardrails.patch.v1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seulement si le System le déclare et si la Membrane v2 en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enforce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l’autorise. Sinon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Baseline = Run terminé à provenance serveur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runtime_auto</w:t>
      </w:r>
      <w:r>
        <w:rPr>
          <w:rFonts w:ascii="Calibri" w:hAnsi="Calibri" w:eastAsia="Calibri"/>
          <w:b w:val="0"/>
          <w:i w:val="0"/>
          <w:color w:val="151A23"/>
          <w:sz w:val="22"/>
        </w:rPr>
        <w:t>. Un seed, un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canari ou une valeur opérateur est </w:t>
      </w:r>
      <w:r>
        <w:rPr>
          <w:rFonts w:ascii="Calibri" w:hAnsi="Calibri" w:eastAsia="Calibri"/>
          <w:b/>
          <w:i w:val="0"/>
          <w:color w:val="151A23"/>
          <w:sz w:val="22"/>
        </w:rPr>
        <w:t>refusé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comme baseline.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0E6B6A"/>
          <w:sz w:val="22"/>
        </w:rPr>
        <w:t>simulation_is_measurement: false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partout. Une mesure ne clôt le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scénario que sur un Run post-action réellement observé.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Détail : </w:t>
      </w:r>
      <w:r>
        <w:rPr>
          <w:rFonts w:ascii="Calibri" w:hAnsi="Calibri" w:eastAsia="Calibri"/>
          <w:b w:val="0"/>
          <w:i w:val="0"/>
          <w:color w:val="151A23"/>
          <w:sz w:val="22"/>
        </w:rPr>
        <w:t>`agentium-lot8-value-loop.md`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/steering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(page historique) garde le CRUD de politiques. L’aperçu « leviers / what-if » y est </w:t>
      </w:r>
      <w:r>
        <w:rPr>
          <w:rFonts w:ascii="Calibri" w:hAnsi="Calibri" w:eastAsia="Calibri"/>
          <w:b/>
          <w:i w:val="0"/>
          <w:color w:val="151A23"/>
          <w:sz w:val="22"/>
        </w:rPr>
        <w:t>éteint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/hypervisor/what-if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/control-plane/simulate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répondent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pointent vers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/systems/{id}/value-loop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Ne pas promettre un impact preview universel (&lt; 300 ms) : c’est </w:t>
      </w:r>
      <w:r>
        <w:rPr>
          <w:rFonts w:ascii="Calibri" w:hAnsi="Calibri" w:eastAsia="Calibri"/>
          <w:b/>
          <w:i w:val="0"/>
          <w:color w:val="151A23"/>
          <w:sz w:val="22"/>
        </w:rPr>
        <w:t>planifié</w:t>
      </w:r>
      <w:r>
        <w:rPr>
          <w:rFonts w:ascii="Calibri" w:hAnsi="Calibri" w:eastAsia="Calibri"/>
          <w:b w:val="0"/>
          <w:i w:val="0"/>
          <w:color w:val="151A23"/>
          <w:sz w:val="22"/>
        </w:rPr>
        <w:t>, le composant n’est pas branché.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4.3 Approbation humaine dans Work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Dans une application publiée (Studio), un gate est une </w:t>
      </w:r>
      <w:r>
        <w:rPr>
          <w:rFonts w:ascii="Calibri" w:hAnsi="Calibri" w:eastAsia="Calibri"/>
          <w:b/>
          <w:i w:val="0"/>
          <w:color w:val="151A23"/>
          <w:sz w:val="22"/>
        </w:rPr>
        <w:t>décision humaine explicite</w:t>
      </w:r>
      <w:r>
        <w:rPr>
          <w:rFonts w:ascii="Calibri" w:hAnsi="Calibri" w:eastAsia="Calibri"/>
          <w:b w:val="0"/>
          <w:i w:val="0"/>
          <w:color w:val="151A23"/>
          <w:sz w:val="22"/>
        </w:rPr>
        <w:t>. Le modèle ne peut pas accepter à la place de la personne (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/assistant/decisions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exige l’action UI et l’id observé). La file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/steering/review-queue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traite les revues d’évaluation. Ces actes ont une provenance humaine dans l’audit.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5. Industrialiser l’IA : ce que ça change pour la stratégie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Industrialiser, dans Agentium, n’est pas « mettre un LLM en production ». C’est faire tenir </w:t>
      </w:r>
      <w:r>
        <w:rPr>
          <w:rFonts w:ascii="Calibri" w:hAnsi="Calibri" w:eastAsia="Calibri"/>
          <w:b/>
          <w:i w:val="0"/>
          <w:color w:val="151A23"/>
          <w:sz w:val="22"/>
        </w:rPr>
        <w:t>cinq disciplines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sur le même objet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Discipline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que le COMEX obtient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Où le voir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Alignement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Chaque System sert une Capability, pas un prompt orphelin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/capabilities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/systems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Work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Publication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Ce que le métier consomme est une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Experience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liée à une version publiée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/create/apps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/work/:slug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Preuve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Chaque réponse a un Run, un coût éventuel, un contexte, une lignée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/runs/:id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conversation « Preuves de l’action »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Gouvernance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Politiques, IAM, audit, Membrane — jamais « prompt only »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/governance/audit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/governance/access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Allocation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On arbitrage ce qu’on finance, ce qu’on resserre, ce qu’on arrête,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sur preuve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+ boucle de valeur du System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Conséquence stratégique :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Le portefeuille devient un objet de management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une collection de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PoC. On peut dire </w:t>
      </w:r>
      <w:r>
        <w:rPr>
          <w:rFonts w:ascii="Calibri" w:hAnsi="Calibri" w:eastAsia="Calibri"/>
          <w:b w:val="0"/>
          <w:i/>
          <w:color w:val="151A23"/>
          <w:sz w:val="22"/>
        </w:rPr>
        <w:t>combien de Systems ont une base de valeur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151A23"/>
          <w:sz w:val="22"/>
        </w:rPr>
        <w:t>lesquels n’ont que des runs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151A23"/>
          <w:sz w:val="22"/>
        </w:rPr>
        <w:t>lesquels attendent une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La conversation n’est pas un canal parallèle.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Elle réutilise les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mêmes contrats, permissions et gates. Elle peut lancer une action autorisée ; elle ne crée pas un droit.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L’économie n’est pas un badge chrome.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Les cinq métriques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d’</w:t>
      </w:r>
      <w:r>
        <w:rPr>
          <w:rFonts w:ascii="Calibri" w:hAnsi="Calibri" w:eastAsia="Calibri"/>
          <w:b/>
          <w:i w:val="0"/>
          <w:color w:val="151A23"/>
          <w:sz w:val="22"/>
        </w:rPr>
        <w:t>objectif opérationnel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(adoption) ne sont pas un ROI attesté. La boucle de valeur porte les mesures économiques. L’écart « heures / argent économisés » (O5) reste un </w:t>
      </w:r>
      <w:r>
        <w:rPr>
          <w:rFonts w:ascii="Calibri" w:hAnsi="Calibri" w:eastAsia="Calibri"/>
          <w:b/>
          <w:i w:val="0"/>
          <w:color w:val="151A23"/>
          <w:sz w:val="22"/>
        </w:rPr>
        <w:t>trou d’acceptation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documenté.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Le risque d’autonomie est borné.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Un actionneur unique, une Membrane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en enforce, un humain sur les gates. On industrialise le contrôle autant que l’exécution.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La maturité visée (mental model §37), </w:t>
      </w:r>
      <w:r>
        <w:rPr>
          <w:rFonts w:ascii="Calibri" w:hAnsi="Calibri" w:eastAsia="Calibri"/>
          <w:b/>
          <w:i w:val="0"/>
          <w:color w:val="151A23"/>
          <w:sz w:val="22"/>
        </w:rPr>
        <w:t>sans UX adaptative automatique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aujourd’hui 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Construire → Exécuter → Mesurer → Optimiser → Allouer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Règle : </w:t>
      </w:r>
      <w:r>
        <w:rPr>
          <w:rFonts w:ascii="Calibri" w:hAnsi="Calibri" w:eastAsia="Calibri"/>
          <w:b w:val="0"/>
          <w:i/>
          <w:color w:val="151A23"/>
          <w:sz w:val="22"/>
        </w:rPr>
        <w:t>l’adoption commence par l’exécution ; le passage à l’échelle exige l’économie.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 ne force pas un C-level à un bilan s’il n’y a pas encore de Runs, et on ne vend pas un bilan s’il n’y a que des Runs.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6. Capacité d’adoption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6.1 État réel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Élément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État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Expérience d’adoption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Code livré derrière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settings.features.adoption_experience_v1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off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par défaut)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/ Experiences</w:t>
            </w:r>
          </w:p>
        </w:tc>
        <w:tc>
          <w:tcPr>
            <w:tcW w:type="dxa" w:w="4873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experience_v1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contrat Work/runtime ; « intégré » ≠ accepté en production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Guides EN/FR</w:t>
            </w:r>
          </w:p>
        </w:tc>
        <w:tc>
          <w:tcPr>
            <w:tcW w:type="dxa" w:w="4873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/help/{start,sources,systems,runs,value}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Parcours NorthForge</w:t>
            </w:r>
          </w:p>
        </w:tc>
        <w:tc>
          <w:tcPr>
            <w:tcW w:type="dxa" w:w="4873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/work/getting-started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4 étapes, Showcase + collection notices requise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Compagnon de conversation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Overlay Work + Cockpit, scope bound, le modèle ne signe pas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Objectifs opérationnels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5 métriques bornées sur le System — pas un ROI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Sessions d’utilisabilité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Non tenues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(cible : 5 métier + 5 développeurs)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Seuil NorthForge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4/5 métier finissent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seuls en 10 minutes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non mesuré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Retrait du flag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Séquence sponsor (pilote → défaut → retrait) —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non signée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L’adoption n’est </w:t>
      </w:r>
      <w:r>
        <w:rPr>
          <w:rFonts w:ascii="Calibri" w:hAnsi="Calibri" w:eastAsia="Calibri"/>
          <w:b/>
          <w:i w:val="0"/>
          <w:color w:val="151A23"/>
          <w:sz w:val="22"/>
        </w:rPr>
        <w:t>pas une édition permanente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C’est un contrôle de déploiement. Le récit à tenir : </w:t>
      </w:r>
      <w:r>
        <w:rPr>
          <w:rFonts w:ascii="Calibri" w:hAnsi="Calibri" w:eastAsia="Calibri"/>
          <w:b w:val="0"/>
          <w:i/>
          <w:color w:val="151A23"/>
          <w:sz w:val="22"/>
        </w:rPr>
        <w:t>« le chemin métier existe ; il n’est pas encore le défaut de tous les workspaces, et nous n’avons pas encore la feuille d’acceptation. »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6.2 Trois couches de « persona » — ne pas les confondre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Couche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Valeurs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qu’elle change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Ce qu’elle ne change pas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Rôle IAM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Droits workspace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Ce que la personne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peut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faire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Mode workspace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builder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operator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executive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(+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demo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portfolio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provisionnés)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Densité Cockpit, home, divulgation éco/technique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Les droits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Préférence membre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(adoption)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Construction / Utilisation / Pilotage de la valeur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Ton des guides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&lt;ck-help&gt;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Mode, rôle, entitlements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Le mode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demo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masque fournisseurs et modèles (présentation sûre).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portfolio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persisté, volontairement absent du sélecteur UI.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Personas de récit (deck produit) — utiles pour une histoire, </w:t>
      </w:r>
      <w:r>
        <w:rPr>
          <w:rFonts w:ascii="Calibri" w:hAnsi="Calibri" w:eastAsia="Calibri"/>
          <w:b/>
          <w:i w:val="0"/>
          <w:color w:val="151A23"/>
          <w:sz w:val="22"/>
        </w:rPr>
        <w:t>pas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des comptes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Persona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Entrée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Job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Sarah — CAIO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Arbitrer le portefeuille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Mehdi — Steward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/steering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puis Steer d’un System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Enveloppe et politiques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Alex — Builder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/create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/systems/new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Composer un System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Claire — Analyste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Work d’abord ; Cockpit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/runs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en forage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Consommer et tracer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Léo — Curateur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/knowledge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Préparer les sources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Nadia — Gouvernance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/governance/audit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Conformité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Claire ne « vit » pas dans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/systems/:id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Le métier consomme dans </w:t>
      </w: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>. Le chat Cockpit est le chemin opérateur.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6.3 Courbe d’apprentissage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Trois paliers </w:t>
      </w:r>
      <w:r>
        <w:rPr>
          <w:rFonts w:ascii="Calibri" w:hAnsi="Calibri" w:eastAsia="Calibri"/>
          <w:b/>
          <w:i w:val="0"/>
          <w:color w:val="151A23"/>
          <w:sz w:val="22"/>
        </w:rPr>
        <w:t>déclarés</w:t>
      </w:r>
      <w:r>
        <w:rPr>
          <w:rFonts w:ascii="Calibri" w:hAnsi="Calibri" w:eastAsia="Calibri"/>
          <w:b w:val="0"/>
          <w:i w:val="0"/>
          <w:color w:val="151A23"/>
          <w:sz w:val="22"/>
        </w:rPr>
        <w:t>, pas encore un coach automatique (§38 planifié).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1. Exécuter une tâche          Work / Studio</w:t>
        <w:br/>
        <w:t>2. Relier le résultat à un Run  Citations, /runs, compagnon</w:t>
        <w:br/>
        <w:t>3. Relier le Run à une décision Impact + gates + (si activé) boucle de valeur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Profil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Premiers 15 minutes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Première semaine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C-level observateur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→ une app publiée →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(Impact) → lire mesuré/déclaré/absent →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/help/value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Revue 30j/90j, couverture des bases de valeur, décisions en attente, un passage audit.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Pas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d’« heures économisées € » sans baseline Lot 8.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Métier consommateur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→ question → ouvrir la citation → (optionnel) NorthForge. Persona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Utilisation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Quotidien Work ; file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/steering/review-queue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si assigné ; deep link Run seulement pour forer.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Terminé ≠ réponse validée.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Décideur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Un gate Studio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ou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une décision Hyperviseur (signal)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avant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d’ouvrir Steer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Inbox : gates + revue + feed Impact. Un scénario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Simuler → Mesurer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seulement si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value_loop_v1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est actif sur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System.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Cible d’acceptation métier (non mesurée) : premier résultat vérifiable </w:t>
      </w:r>
      <w:r>
        <w:rPr>
          <w:rFonts w:ascii="Calibri" w:hAnsi="Calibri" w:eastAsia="Calibri"/>
          <w:b/>
          <w:i w:val="0"/>
          <w:color w:val="151A23"/>
          <w:sz w:val="22"/>
        </w:rPr>
        <w:t>seul, en dix minutes</w:t>
      </w:r>
      <w:r>
        <w:rPr>
          <w:rFonts w:ascii="Calibri" w:hAnsi="Calibri" w:eastAsia="Calibri"/>
          <w:b w:val="0"/>
          <w:i w:val="0"/>
          <w:color w:val="151A23"/>
          <w:sz w:val="22"/>
        </w:rPr>
        <w:t>, sur l’exemple NorthForge.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Cible builder (référence, pas une promesse client) : adapter l’exercice « Operational Analysis » (Flow → System dédié → app publiée) en une session ; le run interne a déjà dépassé le budget 120 min.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6.4 Ce que « capable d’adoption » veut dire — et ne veut pas dire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Veut dire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métier peut entrer par </w:t>
      </w: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>, sans jargon moteur.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C-level peut ouvrir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et distinguer preuve, hypothèse et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trou.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Un décideur a un endroit </w:t>
      </w:r>
      <w:r>
        <w:rPr>
          <w:rFonts w:ascii="Calibri" w:hAnsi="Calibri" w:eastAsia="Calibri"/>
          <w:b/>
          <w:i w:val="0"/>
          <w:color w:val="151A23"/>
          <w:sz w:val="22"/>
        </w:rPr>
        <w:t>explicite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pour signer, distinct de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l’exécution du modèle.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Les guides et le compagnon existent en FR/EN.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Le chrome refuse de fabriquer un total financier de substitution.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Ne veut pas dire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Tout le monde est autonome le premier jour » — non mesuré.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NorthForge certifie » — les étapes visitées ne certifient rien.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Le flag adoption = produit mature » — le flag est un robinet.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« Impact = ROI » — le renommage n’établit pas l’outcome.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7. Contrat d’honnêteté — phrases à tenir / à interdire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Tenir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Interdire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Une donnée absente n’est pas un zéro.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Afficher ou raconter un 0 € / 0 h là où l’état est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not_measured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not_configured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Une simulation n’est pas une mesure.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On a simulé, donc on a gagné.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Accepter dans l’Hyperviseur enregistre un signal.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L’Hyperviseur applique tout seul la policy.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La boucle de valeur vit sur un System, derrière un flag.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Tous les workspaces ferment la boucle.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Le what-if portefeuille est retiré.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Bougez le levier, le ROI se met à jour en live.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Mission Room est une app de workspace.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Mission Room = le grand livre.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Adoption opt-in, sessions non tenues.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« L’adoption est validée par les utilisateurs. »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Conformité générée = état dépôt, pas preuve de prod.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Lire le tableau lots du mental model comme une attestation client.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États de fait partagés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available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not_measured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restricted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unavailable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8. Parcours de présentation recommandé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Hard-reload (Cmd+Shift+R) avant toute parole. Un onglet périmé produit des 422 nues et un message « cet onglet a été ouvert avant une mise à jour ».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une application publiée, une question, une citation. </w:t>
      </w:r>
      <w:r>
        <w:rPr>
          <w:rFonts w:ascii="Calibri" w:hAnsi="Calibri" w:eastAsia="Calibri"/>
          <w:b w:val="0"/>
          <w:i/>
          <w:color w:val="151A23"/>
          <w:sz w:val="22"/>
        </w:rPr>
        <w:t>Consommer.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Run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deep link. </w:t>
      </w:r>
      <w:r>
        <w:rPr>
          <w:rFonts w:ascii="Calibri" w:hAnsi="Calibri" w:eastAsia="Calibri"/>
          <w:b w:val="0"/>
          <w:i/>
          <w:color w:val="151A23"/>
          <w:sz w:val="22"/>
        </w:rPr>
        <w:t>Monitorer : voici la preuve, pas le gain.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Hyperviseur / 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légende mesuré/déclaré, une décision en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attente. </w:t>
      </w:r>
      <w:r>
        <w:rPr>
          <w:rFonts w:ascii="Calibri" w:hAnsi="Calibri" w:eastAsia="Calibri"/>
          <w:b w:val="0"/>
          <w:i/>
          <w:color w:val="151A23"/>
          <w:sz w:val="22"/>
        </w:rPr>
        <w:t>Observer, puis décider (signal).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Steer d’un 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(seulement si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value_loop_v1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 réellement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actif) — </w:t>
      </w:r>
      <w:r>
        <w:rPr>
          <w:rFonts w:ascii="Calibri" w:hAnsi="Calibri" w:eastAsia="Calibri"/>
          <w:b w:val="0"/>
          <w:i/>
          <w:color w:val="151A23"/>
          <w:sz w:val="22"/>
        </w:rPr>
        <w:t>Simuler n’est pas mesurer.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Sinon, s’arrêter et le dire.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`/help/value`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refermer sur la distinction coût observé / valeur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déclarée / impact attesté.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Pour un client NAWA, le Studio PR→PO (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/work/pr-to-po?workspace=nawa&amp;lang=en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 se présente depuis le playbook opérateur, pas depuis l’UI : </w:t>
      </w:r>
      <w:r>
        <w:rPr>
          <w:rFonts w:ascii="Calibri" w:hAnsi="Calibri" w:eastAsia="Calibri"/>
          <w:b w:val="0"/>
          <w:i w:val="0"/>
          <w:color w:val="151A23"/>
          <w:sz w:val="22"/>
        </w:rPr>
        <w:t>`ops/nawa-pr-to-po-live-demo-playbook.md`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9. Cartographie des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Document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Usage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`mental-model.md`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Vision, entités, maturité, limites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`agentium-reference.md`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Lexique, surfaces, Work / Cockpit / Studio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`agentium-adoption-roadmap.md`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Flag, lots, protocole d’acceptation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`agentium-lot8-value-loop.md`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Enactment Simulate → Measure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`hypervisor-v2-chart-grammar.md`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Grammaire visuelle v2, vues, fact-states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`deck-product-review.md`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Deck mental model (équipe produit)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`deck-agentium-decision-adoption.md`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Deck C-level / métier (ce briefing)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`showcase-demo-walkthrough.md`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Script Hyperviseur v1 (SCAN)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Copy écran à réutiliser tel quel 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frontend-ng/src/app/core/i18n/hypervisor.dict.ts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experience.dict.ts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backend/app/content/help_content.yaml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Agentium — Hyperviseur, décision et industrialisation de l'IA</dc:title>
  <dc:subject/>
  <dc:creator>Agentium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