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1119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at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119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Consolas" w:hAnsi="Consolas"/>
          <w:b/>
          <w:i w:val="0"/>
          <w:color w:val="2D6CDF"/>
          <w:sz w:val="22"/>
        </w:rPr>
        <w:t xml:space="preserve">DELIVERY METHODOLOGY · WALKTHROUGH EXAMPLE</w:t>
      </w:r>
    </w:p>
    <w:p>
      <w:pPr>
        <w:spacing w:before="200"/>
        <w:jc w:val="center"/>
      </w:pPr>
      <w:r>
        <w:rPr>
          <w:rFonts w:ascii="Arial" w:hAnsi="Arial"/>
          <w:b/>
          <w:i w:val="0"/>
          <w:color w:val="0B2545"/>
          <w:sz w:val="60"/>
        </w:rPr>
        <w:t>Business Requirements</w:t>
      </w:r>
    </w:p>
    <w:p>
      <w:pPr>
        <w:jc w:val="center"/>
      </w:pPr>
      <w:r>
        <w:rPr>
          <w:rFonts w:ascii="Arial" w:hAnsi="Arial"/>
          <w:b w:val="0"/>
          <w:i w:val="0"/>
          <w:color w:val="151A23"/>
          <w:sz w:val="26"/>
        </w:rPr>
        <w:t xml:space="preserve">Document Summary Generator SPARK-089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Template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Business Requirements walkthrough example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Reference</w:t>
            </w:r>
          </w:p>
        </w:tc>
        <w:tc>
          <w:tcPr>
            <w:tcW w:type="dxa" w:w="6803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PIH-SPARK-089-BRD-EXAMPLE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Version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0.1 — illustrative draft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6803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Not appointed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Prepared for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Agentium walkthrough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Methodology</w:t>
            </w:r>
          </w:p>
        </w:tc>
        <w:tc>
          <w:tcPr>
            <w:tcW w:type="dxa" w:w="6803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ISO/IEC 42001 &amp; 12792 (SC 42) · structured business-analysis practice · Two-Layer Agent-Ready Requirements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Date</w:t>
            </w:r>
          </w:p>
        </w:tc>
        <w:tc>
          <w:tcPr>
            <w:tcW w:type="dxa" w:w="6803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2026-09-15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Classification</w:t>
            </w:r>
          </w:p>
        </w:tc>
        <w:tc>
          <w:tcPr>
            <w:tcW w:type="dxa" w:w="6803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96371"/>
                <w:sz w:val="19"/>
              </w:rPr>
              <w:t xml:space="preserve">Synthetic example — not approved requirements</w:t>
            </w:r>
          </w:p>
        </w:tc>
      </w:tr>
    </w:tbl>
    <w:p>
      <w:pPr>
        <w:spacing w:before="320"/>
        <w:jc w:val="center"/>
      </w:pPr>
      <w:r>
        <w:rPr>
          <w:rFonts w:ascii="Arial" w:hAnsi="Arial"/>
          <w:b w:val="0"/>
          <w:i/>
          <w:color w:val="596371"/>
          <w:sz w:val="18"/>
        </w:rPr>
        <w:t xml:space="preserve">Aligned with ISO/IEC 42001 (AI management systems) and ISO/IEC 12792 (transparency of AI systems), ISO/IEC JTC 1/SC 42, and recognised business-analysis requirements practice. </w:t>
      </w:r>
      <w:r>
        <w:rPr>
          <w:rFonts w:ascii="Arial" w:hAnsi="Arial"/>
          <w:b/>
          <w:i/>
          <w:color w:val="0B2545"/>
          <w:sz w:val="18"/>
        </w:rPr>
        <w:t>Datategy is a member of the AFNOR AI standardisation committee (CN IA — the French national mirror of ISO/IEC JTC 1/SC 42) that contributes to drafting these standards.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2D6CDF"/>
        </w:rPr>
        <w:t xml:space="preserve">About this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3F5F8"/>
            <w:tcBorders>
              <w:left w:val="single" w:sz="26" w:space="0" w:color="2D6CDF"/>
            </w:tcBorders>
            <w:tcMar>
              <w:top w:w="70" w:type="dxa"/>
              <w:bottom w:w="70" w:type="dxa"/>
              <w:start w:w="160" w:type="dxa"/>
              <w:end w:w="130" w:type="dxa"/>
              <w:left w:w="160" w:type="dxa"/>
              <w:right w:w="130" w:type="dxa"/>
            </w:tcMar>
          </w:tcPr>
          <w:p>
            <w:r/>
            <w:r>
              <w:rPr>
                <w:rFonts w:ascii="Consolas" w:hAnsi="Consolas"/>
                <w:b/>
                <w:i w:val="0"/>
                <w:color w:val="2D6CDF"/>
                <w:sz w:val="18"/>
              </w:rPr>
              <w:t xml:space="preserve">Example — </w:t>
            </w:r>
            <w:r>
              <w:rPr>
                <w:rFonts w:ascii="Arial" w:hAnsi="Arial"/>
                <w:b w:val="0"/>
                <w:i/>
                <w:color w:val="596371"/>
                <w:sz w:val="19"/>
              </w:rPr>
              <w:t>PIH Ideas row 830, SPARK-089, is in Idea Review / To be reviewed. This example does not approve its requirements.</w:t>
            </w:r>
          </w:p>
        </w:tc>
      </w:tr>
    </w:tbl>
    <w:p>
      <w:pPr>
        <w:spacing w:after="20"/>
      </w:pPr>
    </w:p>
    <w:p>
      <w:pPr>
        <w:spacing w:before="60" w:after="80" w:line="274" w:lineRule="auto"/>
      </w:pPr>
      <w:r>
        <w:rPr>
          <w:rFonts w:ascii="Arial" w:hAnsi="Arial"/>
          <w:b w:val="0"/>
          <w:i/>
          <w:color w:val="596371"/>
          <w:sz w:val="19"/>
        </w:rPr>
        <w:t xml:space="preserve">The transaction excerpts below are synthetic. No business owner, delivery commitment or acceptance signature is assigned.</w:t>
      </w: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1.  Context &amp; objective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Client / entity : </w:t>
      </w:r>
      <w:r>
        <w:rPr>
          <w:rFonts w:ascii="Arial" w:hAnsi="Arial"/>
          <w:b w:val="0"/>
          <w:i/>
          <w:color w:val="596371"/>
          <w:sz w:val="20"/>
        </w:rPr>
        <w:t>PIH idea SPARK-089; synthetic job-regrade transaction.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Sponsor &amp; business owner : </w:t>
      </w:r>
      <w:r>
        <w:rPr>
          <w:rFonts w:ascii="Arial" w:hAnsi="Arial"/>
          <w:b w:val="0"/>
          <w:i/>
          <w:color w:val="596371"/>
          <w:sz w:val="20"/>
        </w:rPr>
        <w:t>Not appointed.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System / agent in scope : </w:t>
      </w:r>
      <w:r>
        <w:rPr>
          <w:rFonts w:ascii="Arial" w:hAnsi="Arial"/>
          <w:b w:val="0"/>
          <w:i/>
          <w:color w:val="596371"/>
          <w:sz w:val="20"/>
        </w:rPr>
        <w:t>Document Summary Generator: prepare a factual summary for approvers.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Current situation : </w:t>
      </w:r>
      <w:r>
        <w:rPr>
          <w:rFonts w:ascii="Arial" w:hAnsi="Arial"/>
          <w:b w:val="0"/>
          <w:i/>
          <w:color w:val="596371"/>
          <w:sz w:val="20"/>
        </w:rPr>
        <w:t>Approvers read scattered documents and manually synthesise 6–10 pages, including current versus proposed job title and grade.</w:t>
      </w: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2.  Primary persona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3F5F8"/>
            <w:tcBorders>
              <w:left w:val="single" w:sz="26" w:space="0" w:color="2D6CDF"/>
            </w:tcBorders>
            <w:tcMar>
              <w:top w:w="70" w:type="dxa"/>
              <w:bottom w:w="70" w:type="dxa"/>
              <w:start w:w="160" w:type="dxa"/>
              <w:end w:w="130" w:type="dxa"/>
              <w:left w:w="160" w:type="dxa"/>
              <w:right w:w="130" w:type="dxa"/>
            </w:tcMar>
          </w:tcPr>
          <w:p>
            <w:r/>
            <w:r>
              <w:rPr>
                <w:rFonts w:ascii="Consolas" w:hAnsi="Consolas"/>
                <w:b/>
                <w:i w:val="0"/>
                <w:color w:val="2D6CDF"/>
                <w:sz w:val="18"/>
              </w:rPr>
              <w:t xml:space="preserve">Example — </w:t>
            </w:r>
            <w:r>
              <w:rPr>
                <w:rFonts w:ascii="Arial" w:hAnsi="Arial"/>
                <w:b w:val="0"/>
                <w:i/>
                <w:color w:val="596371"/>
                <w:sz w:val="19"/>
              </w:rPr>
              <w:t>The approver checks the facts and remains responsible for the transaction decision.</w:t>
            </w:r>
          </w:p>
        </w:tc>
      </w:tr>
    </w:tbl>
    <w:p>
      <w:pPr>
        <w:spacing w:after="20"/>
      </w:pP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Persona &amp; volume : </w:t>
      </w:r>
      <w:r>
        <w:rPr>
          <w:rFonts w:ascii="Arial" w:hAnsi="Arial"/>
          <w:b w:val="0"/>
          <w:i/>
          <w:color w:val="596371"/>
          <w:sz w:val="20"/>
        </w:rPr>
        <w:t>Transaction approver; user count not recorded.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Current tools : </w:t>
      </w:r>
      <w:r>
        <w:rPr>
          <w:rFonts w:ascii="Arial" w:hAnsi="Arial"/>
          <w:b w:val="0"/>
          <w:i/>
          <w:color w:val="596371"/>
          <w:sz w:val="20"/>
        </w:rPr>
        <w:t>Supplied transaction documents; live systems not specified.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Job-to-be-done : </w:t>
      </w:r>
      <w:r>
        <w:rPr>
          <w:rFonts w:ascii="Arial" w:hAnsi="Arial"/>
          <w:b w:val="0"/>
          <w:i/>
          <w:color w:val="596371"/>
          <w:sz w:val="20"/>
        </w:rPr>
        <w:t>When reviewing a regrade, I want a concise sourced summary so I can examine the facts and gaps.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AI literacy : </w:t>
      </w:r>
      <w:r>
        <w:rPr>
          <w:rFonts w:ascii="Arial" w:hAnsi="Arial"/>
          <w:b w:val="0"/>
          <w:i/>
          <w:color w:val="596371"/>
          <w:sz w:val="20"/>
        </w:rPr>
        <w:t>Not assessed.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Trust posture : </w:t>
      </w:r>
      <w:r>
        <w:rPr>
          <w:rFonts w:ascii="Arial" w:hAnsi="Arial"/>
          <w:b w:val="0"/>
          <w:i/>
          <w:color w:val="596371"/>
          <w:sz w:val="20"/>
        </w:rPr>
        <w:t>Every stated fact references a supplied excerpt; missing information stays explicit.</w:t>
      </w: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3.  Process: As-Is → To-Be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3F5F8"/>
            <w:tcBorders>
              <w:left w:val="single" w:sz="26" w:space="0" w:color="2D6CDF"/>
            </w:tcBorders>
            <w:tcMar>
              <w:top w:w="70" w:type="dxa"/>
              <w:bottom w:w="70" w:type="dxa"/>
              <w:start w:w="160" w:type="dxa"/>
              <w:end w:w="130" w:type="dxa"/>
              <w:left w:w="160" w:type="dxa"/>
              <w:right w:w="130" w:type="dxa"/>
            </w:tcMar>
          </w:tcPr>
          <w:p>
            <w:r/>
            <w:r>
              <w:rPr>
                <w:rFonts w:ascii="Consolas" w:hAnsi="Consolas"/>
                <w:b/>
                <w:i w:val="0"/>
                <w:color w:val="2D6CDF"/>
                <w:sz w:val="18"/>
              </w:rPr>
              <w:t xml:space="preserve">Example — </w:t>
            </w:r>
            <w:r>
              <w:rPr>
                <w:rFonts w:ascii="Arial" w:hAnsi="Arial"/>
                <w:b w:val="0"/>
                <w:i/>
                <w:color w:val="596371"/>
                <w:sz w:val="19"/>
              </w:rPr>
              <w:t>The proposed system prepares a summary. A human reviews missing information and makes any transaction decision.</w:t>
            </w:r>
          </w:p>
        </w:tc>
      </w:tr>
    </w:tbl>
    <w:p>
      <w:pPr>
        <w:spacing w:after="20"/>
      </w:pPr>
    </w:p>
    <w:p>
      <w:pPr>
        <w:spacing w:before="60" w:after="20" w:line="274" w:lineRule="auto"/>
        <w:keepNext/>
      </w:pPr>
      <w:r>
        <w:rPr>
          <w:rFonts w:ascii="Arial" w:hAnsi="Arial"/>
          <w:b/>
          <w:i w:val="0"/>
          <w:color w:val="0B2545"/>
          <w:sz w:val="21"/>
        </w:rPr>
        <w:t>As-Is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2835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47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9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Systems</w:t>
            </w:r>
          </w:p>
        </w:tc>
        <w:tc>
          <w:tcPr>
            <w:tcW w:type="dxa" w:w="113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226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Pain point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Read documents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Approver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Transaction documents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13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measured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26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Facts scattered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Write synthesis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Approver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Manual summary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13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measured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26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Manual comparison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 w:line="274" w:lineRule="auto"/>
        <w:keepNext/>
      </w:pPr>
      <w:r>
        <w:rPr>
          <w:rFonts w:ascii="Arial" w:hAnsi="Arial"/>
          <w:b/>
          <w:i w:val="0"/>
          <w:color w:val="0B2545"/>
          <w:sz w:val="21"/>
        </w:rPr>
        <w:t>To-Be (agent + human)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082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04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Performed by (agent / human)</w:t>
            </w:r>
          </w:p>
        </w:tc>
        <w:tc>
          <w:tcPr>
            <w:tcW w:type="dxa" w:w="181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Systems</w:t>
            </w:r>
          </w:p>
        </w:tc>
        <w:tc>
          <w:tcPr>
            <w:tcW w:type="dxa" w:w="170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Time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Prepare sourced summary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04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System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81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Supplied excerpts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To measure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4082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Review facts and gaps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04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Human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81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Summary and excerpts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To measure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4.  Business outcomes</w:t>
      </w:r>
    </w:p>
    <w:p>
      <w:pPr>
        <w:spacing w:before="60" w:after="80" w:line="274" w:lineRule="auto"/>
        <w:keepNext/>
      </w:pPr>
      <w:r>
        <w:rPr>
          <w:rFonts w:ascii="Arial" w:hAnsi="Arial"/>
          <w:b w:val="0"/>
          <w:i w:val="0"/>
          <w:color w:val="151A23"/>
          <w:sz w:val="21"/>
        </w:rPr>
        <w:t>The measurable results the solution must deliver (the “why”).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907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Business outcome</w:t>
            </w:r>
          </w:p>
        </w:tc>
        <w:tc>
          <w:tcPr>
            <w:tcW w:type="dxa" w:w="306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Why it matters</w:t>
            </w:r>
          </w:p>
        </w:tc>
        <w:tc>
          <w:tcPr>
            <w:tcW w:type="dxa" w:w="226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Target signal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BO-1</w:t>
            </w:r>
          </w:p>
        </w:tc>
        <w:tc>
          <w:tcPr>
            <w:tcW w:type="dxa" w:w="3402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Quicker factual review of a regrade request.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306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Reduce manual synthesis while retaining source checks.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26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Measure review time and factual accuracy; baseline and target not agreed.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5.  Functional business requirements</w:t>
      </w:r>
    </w:p>
    <w:p>
      <w:pPr>
        <w:spacing w:before="60" w:after="80" w:line="274" w:lineRule="auto"/>
        <w:keepNext/>
      </w:pPr>
      <w:r>
        <w:rPr>
          <w:rFonts w:ascii="Arial" w:hAnsi="Arial"/>
          <w:b w:val="0"/>
          <w:i w:val="0"/>
          <w:color w:val="151A23"/>
          <w:sz w:val="21"/>
        </w:rPr>
        <w:t>What the business needs the system to do (capability level, not technical design).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907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309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 (M/S/C/W)</w:t>
            </w:r>
          </w:p>
        </w:tc>
        <w:tc>
          <w:tcPr>
            <w:tcW w:type="dxa" w:w="249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Maps to capability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FR-1</w:t>
            </w:r>
          </w:p>
        </w:tc>
        <w:tc>
          <w:tcPr>
            <w:tcW w:type="dxa" w:w="4309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Produce an executive summary from supplied transaction documents.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49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Document summarisation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FR-2</w:t>
            </w:r>
          </w:p>
        </w:tc>
        <w:tc>
          <w:tcPr>
            <w:tcW w:type="dxa" w:w="4309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Identify the current and proposed job title and grade.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49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Document summarisation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FR-3</w:t>
            </w:r>
          </w:p>
        </w:tc>
        <w:tc>
          <w:tcPr>
            <w:tcW w:type="dxa" w:w="4309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Mark missing information and reference supplied excerpt identifiers.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49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Document summarisation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6.  Non-functional requirements</w:t>
      </w:r>
    </w:p>
    <w:p>
      <w:pPr>
        <w:spacing w:before="60" w:after="80" w:line="274" w:lineRule="auto"/>
        <w:keepNext/>
      </w:pPr>
      <w:r>
        <w:rPr>
          <w:rFonts w:ascii="Arial" w:hAnsi="Arial"/>
          <w:b w:val="0"/>
          <w:i w:val="0"/>
          <w:color w:val="151A23"/>
          <w:sz w:val="21"/>
        </w:rPr>
        <w:t>Confirm and specify the qualities the system must meet (the Agentium differentiators).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06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Quality</w:t>
            </w:r>
          </w:p>
        </w:tc>
        <w:tc>
          <w:tcPr>
            <w:tcW w:type="dxa" w:w="147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Required?</w:t>
            </w:r>
          </w:p>
        </w:tc>
        <w:tc>
          <w:tcPr>
            <w:tcW w:type="dxa" w:w="5102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Sovereignty / data residency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To confirm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No client data in this example.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Security &amp; identity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Required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Authorised workspace access only.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Robustness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Required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Flag unreadable or missing inputs.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Observability &amp; audit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Required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Retain supplied excerpt identifiers.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Scalability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set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Volumes not assessed.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Performance &amp; cost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set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Measure before agreeing targets.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Availability &amp; support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set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No service commitment.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Maintainability / extensibility</w:t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Required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5102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 w:val="0"/>
                <w:i w:val="0"/>
                <w:color w:val="151A23"/>
                <w:sz w:val="18"/>
              </w:rPr>
              <w:t xml:space="preserve">Preserve requirement identifiers.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7.  Data &amp; knowledge sources</w:t>
      </w:r>
    </w:p>
    <w:p>
      <w:pPr>
        <w:spacing w:before="60" w:after="80" w:line="274" w:lineRule="auto"/>
        <w:keepNext/>
      </w:pPr>
      <w:r>
        <w:rPr>
          <w:rFonts w:ascii="Arial" w:hAnsi="Arial"/>
          <w:b w:val="0"/>
          <w:i w:val="0"/>
          <w:color w:val="151A23"/>
          <w:sz w:val="21"/>
        </w:rPr>
        <w:t>Where the truth lives — systems of record, knowledge corpora (for RAG), and how to reach them.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47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60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Where it lives / access</w:t>
            </w:r>
          </w:p>
        </w:tc>
        <w:tc>
          <w:tcPr>
            <w:tcW w:type="dxa" w:w="147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36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S1</w:t>
            </w:r>
          </w:p>
        </w:tc>
        <w:tc>
          <w:tcPr>
            <w:tcW w:type="dxa" w:w="204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Role change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Text excerpt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This example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Unassigned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36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Synthetic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S2</w:t>
            </w:r>
          </w:p>
        </w:tc>
        <w:tc>
          <w:tcPr>
            <w:tcW w:type="dxa" w:w="204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Transaction status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Text excerpt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This example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Unassigned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36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Synthetic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before="60" w:after="80" w:line="274" w:lineRule="auto"/>
      </w:pPr>
      <w:r>
        <w:rPr>
          <w:rFonts w:ascii="Arial" w:hAnsi="Arial"/>
          <w:b w:val="0"/>
          <w:i w:val="0"/>
          <w:color w:val="151A23"/>
          <w:sz w:val="21"/>
        </w:rPr>
        <w:t xml:space="preserve">S1 — Current job title: Maintenance Technician; grade: G5. Proposed job title: Senior Maintenance Technician; grade: G6.</w:t>
      </w:r>
    </w:p>
    <w:p>
      <w:pPr>
        <w:spacing w:before="60" w:after="80" w:line="274" w:lineRule="auto"/>
      </w:pPr>
      <w:r>
        <w:rPr>
          <w:rFonts w:ascii="Arial" w:hAnsi="Arial"/>
          <w:b w:val="0"/>
          <w:i w:val="0"/>
          <w:color w:val="151A23"/>
          <w:sz w:val="21"/>
        </w:rPr>
        <w:t xml:space="preserve">S2 — Proposed effective date: 1 November 2026. Salary: not supplied. Approval status: pending.</w:t>
      </w:r>
    </w:p>
    <w:p>
      <w:pPr>
        <w:spacing w:after="40"/>
      </w:pP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Access method : </w:t>
      </w:r>
      <w:r>
        <w:rPr>
          <w:rFonts w:ascii="Arial" w:hAnsi="Arial"/>
          <w:b w:val="0"/>
          <w:i/>
          <w:color w:val="596371"/>
          <w:sz w:val="20"/>
        </w:rPr>
        <w:t>Supplied text excerpts only; no live connection.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Data location &amp; residency : </w:t>
      </w:r>
      <w:r>
        <w:rPr>
          <w:rFonts w:ascii="Arial" w:hAnsi="Arial"/>
          <w:b w:val="0"/>
          <w:i/>
          <w:color w:val="596371"/>
          <w:sz w:val="20"/>
        </w:rPr>
        <w:t>Synthetic data in this document; live residency and access to be confirmed.</w:t>
      </w:r>
    </w:p>
    <w:p>
      <w:pPr>
        <w:spacing w:before="40" w:after="40"/>
      </w:pPr>
      <w:r>
        <w:rPr>
          <w:rFonts w:ascii="Arial" w:hAnsi="Arial"/>
          <w:b/>
          <w:i w:val="0"/>
          <w:color w:val="0B2545"/>
          <w:sz w:val="21"/>
        </w:rPr>
        <w:t xml:space="preserve">Compliance / regulatory : </w:t>
      </w:r>
      <w:r>
        <w:rPr>
          <w:rFonts w:ascii="Arial" w:hAnsi="Arial"/>
          <w:b w:val="0"/>
          <w:i/>
          <w:color w:val="596371"/>
          <w:sz w:val="20"/>
        </w:rPr>
        <w:t>Human review retained; no HR decision or transaction write.</w:t>
      </w: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8.  Decisions the agent will make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3F5F8"/>
            <w:tcBorders>
              <w:left w:val="single" w:sz="26" w:space="0" w:color="2D6CDF"/>
            </w:tcBorders>
            <w:tcMar>
              <w:top w:w="70" w:type="dxa"/>
              <w:bottom w:w="70" w:type="dxa"/>
              <w:start w:w="160" w:type="dxa"/>
              <w:end w:w="130" w:type="dxa"/>
              <w:left w:w="160" w:type="dxa"/>
              <w:right w:w="130" w:type="dxa"/>
            </w:tcMar>
          </w:tcPr>
          <w:p>
            <w:r/>
            <w:r>
              <w:rPr>
                <w:rFonts w:ascii="Consolas" w:hAnsi="Consolas"/>
                <w:b/>
                <w:i w:val="0"/>
                <w:color w:val="2D6CDF"/>
                <w:sz w:val="18"/>
              </w:rPr>
              <w:t xml:space="preserve">Example — </w:t>
            </w:r>
            <w:r>
              <w:rPr>
                <w:rFonts w:ascii="Arial" w:hAnsi="Arial"/>
                <w:b w:val="0"/>
                <w:i/>
                <w:color w:val="596371"/>
                <w:sz w:val="19"/>
              </w:rPr>
              <w:t>Completeness determines whether clarification is needed. Ready for human review never means transaction approved.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9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Inputs</w:t>
            </w:r>
          </w:p>
        </w:tc>
        <w:tc>
          <w:tcPr>
            <w:tcW w:type="dxa" w:w="170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Possible outcomes</w:t>
            </w:r>
          </w:p>
        </w:tc>
        <w:tc>
          <w:tcPr>
            <w:tcW w:type="dxa" w:w="204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Threshold / default-if-uncertain</w:t>
            </w:r>
          </w:p>
        </w:tc>
        <w:tc>
          <w:tcPr>
            <w:tcW w:type="dxa" w:w="147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Escalation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D1</w:t>
            </w:r>
          </w:p>
        </w:tc>
        <w:tc>
          <w:tcPr>
            <w:tcW w:type="dxa" w:w="181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Check completeness.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Supplied excerpts and requested fields.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Ready for human review or clarification.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04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Missing requested fact: clarification.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47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Refer gaps to the human reviewer.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9.  Business rules &amp;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3F5F8"/>
            <w:tcBorders>
              <w:left w:val="single" w:sz="26" w:space="0" w:color="2D6CDF"/>
            </w:tcBorders>
            <w:tcMar>
              <w:top w:w="70" w:type="dxa"/>
              <w:bottom w:w="70" w:type="dxa"/>
              <w:start w:w="160" w:type="dxa"/>
              <w:end w:w="130" w:type="dxa"/>
              <w:left w:w="160" w:type="dxa"/>
              <w:right w:w="130" w:type="dxa"/>
            </w:tcMar>
          </w:tcPr>
          <w:p>
            <w:r/>
            <w:r>
              <w:rPr>
                <w:rFonts w:ascii="Consolas" w:hAnsi="Consolas"/>
                <w:b/>
                <w:i w:val="0"/>
                <w:color w:val="2D6CDF"/>
                <w:sz w:val="18"/>
              </w:rPr>
              <w:t xml:space="preserve">Example — </w:t>
            </w:r>
            <w:r>
              <w:rPr>
                <w:rFonts w:ascii="Arial" w:hAnsi="Arial"/>
                <w:b w:val="0"/>
                <w:i/>
                <w:color w:val="596371"/>
                <w:sz w:val="19"/>
              </w:rPr>
              <w:t>Only supplied facts may enter the summary. Transaction decisions remain outside the proposed capability.</w:t>
            </w:r>
          </w:p>
        </w:tc>
      </w:tr>
    </w:tbl>
    <w:p>
      <w:pPr>
        <w:spacing w:after="20"/>
      </w:pPr>
    </w:p>
    <w:p>
      <w:pPr>
        <w:spacing w:before="60" w:after="20" w:line="274" w:lineRule="auto"/>
        <w:keepNext/>
      </w:pPr>
      <w:r>
        <w:rPr>
          <w:rFonts w:ascii="Arial" w:hAnsi="Arial"/>
          <w:b/>
          <w:i w:val="0"/>
          <w:color w:val="0B2545"/>
          <w:sz w:val="21"/>
        </w:rPr>
        <w:t>Business rules (IF / THEN)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6463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Rule (IF … THEN …)</w:t>
            </w:r>
          </w:p>
        </w:tc>
        <w:tc>
          <w:tcPr>
            <w:tcW w:type="dxa" w:w="249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Source / rationale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R1</w:t>
            </w:r>
          </w:p>
        </w:tc>
        <w:tc>
          <w:tcPr>
            <w:tcW w:type="dxa" w:w="6463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IF a fact is not supplied, THEN mark it absent; otherwise state only the supplied fact.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249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Factual review of S1 and S2; no invented information.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spacing w:before="60" w:after="20" w:line="274" w:lineRule="auto"/>
        <w:keepNext/>
      </w:pPr>
      <w:r>
        <w:rPr>
          <w:rFonts w:ascii="Arial" w:hAnsi="Arial"/>
          <w:b/>
          <w:i w:val="0"/>
          <w:color w:val="0B2545"/>
          <w:sz w:val="21"/>
        </w:rPr>
        <w:t>Never do this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957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The agent must never…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N1</w:t>
            </w:r>
          </w:p>
        </w:tc>
        <w:tc>
          <w:tcPr>
            <w:tcW w:type="dxa" w:w="8957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Never approve, reject or update a transaction, or recommend an HR decision.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10.  Success metrics (KPIs)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60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36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Definition</w:t>
            </w:r>
          </w:p>
        </w:tc>
        <w:tc>
          <w:tcPr>
            <w:tcW w:type="dxa" w:w="170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Baseline</w:t>
            </w:r>
          </w:p>
        </w:tc>
        <w:tc>
          <w:tcPr>
            <w:tcW w:type="dxa" w:w="1701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Review time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36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Time to check facts and gaps.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measured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agreed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Factual traceability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36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Each stated fact matches S1 or S2; missing salary is explicit.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assessed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701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 invented fact in the example.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11.  Constraints &amp; assumptions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79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84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Constraint / assumption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1</w:t>
            </w:r>
          </w:p>
        </w:tc>
        <w:tc>
          <w:tcPr>
            <w:tcW w:type="dxa" w:w="884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SPARK-089 remains in Idea Review / To be reviewed; these requirements are illustrative.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2</w:t>
            </w:r>
          </w:p>
        </w:tc>
        <w:tc>
          <w:tcPr>
            <w:tcW w:type="dxa" w:w="884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Document summarisation is a proposed Capability; no owner or delivery target is appointed.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12.  Out of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79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8844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Explicitly out of scope (the agent will not do this, even if asked)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 xml:space="preserve">1</w:t>
            </w:r>
          </w:p>
        </w:tc>
        <w:tc>
          <w:tcPr>
            <w:tcW w:type="dxa" w:w="8844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Transaction approval, rejection, updates, HR recommendations and live HR connections.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13.  Traceability</w:t>
      </w:r>
    </w:p>
    <w:p>
      <w:pPr>
        <w:spacing w:before="60" w:after="80" w:line="274" w:lineRule="auto"/>
      </w:pPr>
      <w:r>
        <w:rPr>
          <w:rFonts w:ascii="Arial" w:hAnsi="Arial"/>
          <w:b w:val="0"/>
          <w:i w:val="0"/>
          <w:color w:val="151A23"/>
          <w:sz w:val="21"/>
        </w:rPr>
        <w:t xml:space="preserve">BO-1 → FR-1, FR-2 and FR-3 → D1, R1 and N1 → proposed Document summarisation Capability → Skill draft. Check S1 and S2 before human review. A draft is not accepted, executed or published.</w:t>
      </w:r>
    </w:p>
    <w:p>
      <w:pPr>
        <w:pStyle w:val="Heading1"/>
        <w:pBdr>
          <w:bottom w:val="single" w:sz="6" w:space="4" w:color="C9D2DE"/>
        </w:pBdr>
      </w:pPr>
      <w:r>
        <w:rPr>
          <w:rFonts w:ascii="Arial" w:hAnsi="Arial"/>
          <w:color w:val="0B2545"/>
        </w:rPr>
        <w:t>14.  Requirements acceptance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7DCE3"/>
          <w:left w:val="single" w:sz="4" w:space="0" w:color="D7DCE3"/>
          <w:bottom w:val="single" w:sz="4" w:space="0" w:color="D7DCE3"/>
          <w:right w:val="single" w:sz="4" w:space="0" w:color="D7DCE3"/>
          <w:insideH w:val="single" w:sz="4" w:space="0" w:color="D7DCE3"/>
          <w:insideV w:val="single" w:sz="4" w:space="0" w:color="D7DCE3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3175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60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28"/>
            <w:shd w:val="clear" w:color="auto" w:fill="0B2545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keepNext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Signature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>Business owner</w:t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appointed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>Process SME</w:t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appointed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>Client IT</w:t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appointed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  <w:tr>
        <w:trPr>
          <w:cantSplit/>
        </w:trPr>
        <w:tc>
          <w:tcPr>
            <w:tcW w:type="dxa" w:w="3175"/>
            <w:shd w:val="clear" w:color="auto" w:fill="F3F5F8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/>
            <w:r>
              <w:rPr>
                <w:rFonts w:ascii="Arial" w:hAnsi="Arial"/>
                <w:b/>
                <w:i w:val="0"/>
                <w:color w:val="151A23"/>
                <w:sz w:val="18"/>
              </w:rPr>
              <w:t>Datategy — Delivery</w:t>
            </w:r>
          </w:p>
        </w:tc>
        <w:tc>
          <w:tcPr>
            <w:tcW w:type="dxa" w:w="260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>Not appointed</w:t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  <w:tc>
          <w:tcPr>
            <w:tcW w:type="dxa" w:w="1928"/>
            <w:shd w:val="clear" w:color="auto" w:fill="FFF8E7"/>
            <w:tcMar>
              <w:top w:w="60" w:type="dxa"/>
              <w:bottom w:w="60" w:type="dxa"/>
              <w:start w:w="110" w:type="dxa"/>
              <w:end w:w="90" w:type="dxa"/>
              <w:left w:w="110" w:type="dxa"/>
              <w:right w:w="90" w:type="dxa"/>
            </w:tcMar>
          </w:tcPr>
          <w:p>
            <w:pPr>
              <w:spacing w:line="264" w:lineRule="auto" w:before="20" w:after="20"/>
            </w:pPr>
            <w:r>
              <w:t xml:space="preserve"/>
            </w:r>
            <w:r>
              <w:rPr>
                <w:rFonts w:ascii="Arial" w:hAnsi="Arial"/>
                <w:b w:val="0"/>
                <w:i w:val="0"/>
                <w:color w:val="596371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077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087"/>
        </w:tcPr>
        <w:p>
          <w:r>
            <w:rPr>
              <w:rFonts w:ascii="Arial" w:hAnsi="Arial"/>
              <w:b w:val="0"/>
              <w:i w:val="0"/>
              <w:color w:val="596371"/>
              <w:sz w:val="16"/>
            </w:rPr>
            <w:t>Datategy · Agentium Delivery Methodology · Template</w:t>
          </w:r>
        </w:p>
      </w:tc>
      <w:tc>
        <w:tcPr>
          <w:tcW w:type="dxa" w:w="2551"/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596371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4" w:color="D7DCE3"/>
      </w:pBdr>
    </w:pPr>
    <w:r>
      <w:drawing>
        <wp:inline xmlns:a="http://schemas.openxmlformats.org/drawingml/2006/main" xmlns:pic="http://schemas.openxmlformats.org/drawingml/2006/picture">
          <wp:extent cx="319630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atateg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630" cy="216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 </w:t>
    </w:r>
    <w:r>
      <w:rPr>
        <w:rFonts w:ascii="Arial" w:hAnsi="Arial"/>
        <w:b w:val="0"/>
        <w:i/>
        <w:color w:val="596371"/>
        <w:sz w:val="17"/>
      </w:rPr>
      <w:t>Business Requirements —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rial" w:hAnsi="Arial"/>
      <w:color w:val="151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D6CD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