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 — Cadrage vidéo démo Agentium (scénario effet wow)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b91dcd4bdeb165047c001ce8de9985775f8ce43"/>
    <w:p>
      <w:pPr>
        <w:pStyle w:val="Heading1"/>
      </w:pPr>
      <w:r>
        <w:t xml:space="preserve">CR — Cadrage vidéo démo Agentium (scénario</w:t>
      </w:r>
      <w:r>
        <w:t xml:space="preserve"> </w:t>
      </w:r>
      <w:r>
        <w:t xml:space="preserve">“</w:t>
      </w:r>
      <w:r>
        <w:t xml:space="preserve">effet wow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Compte-rendu structuré du meeting de cadrage de la vidéo démo. But : servir de</w:t>
      </w:r>
      <w:r>
        <w:rPr>
          <w:iCs/>
          <w:i/>
        </w:rPr>
        <w:t xml:space="preserve"> </w:t>
      </w:r>
      <w:r>
        <w:rPr>
          <w:iCs/>
          <w:i/>
        </w:rPr>
        <w:t xml:space="preserve">script/storyboard partageable pour la production de la vidéo, et de brief pour</w:t>
      </w:r>
      <w:r>
        <w:rPr>
          <w:iCs/>
          <w:i/>
        </w:rPr>
        <w:t xml:space="preserve"> </w:t>
      </w:r>
      <w:r>
        <w:rPr>
          <w:iCs/>
          <w:i/>
        </w:rPr>
        <w:t xml:space="preserve">l’équipe technique sur ce qui doit exister/être présentable.</w:t>
      </w:r>
    </w:p>
    <w:p>
      <w:r>
        <w:pict>
          <v:rect style="width:0;height:1.5pt" o:hralign="center" o:hrstd="t" o:hr="t"/>
        </w:pict>
      </w:r>
    </w:p>
    <w:bookmarkStart w:id="20" w:name="objectif"/>
    <w:p>
      <w:pPr>
        <w:pStyle w:val="Heading2"/>
      </w:pPr>
      <w:r>
        <w:t xml:space="preserve">1. Objectif</w:t>
      </w:r>
    </w:p>
    <w:p>
      <w:pPr>
        <w:pStyle w:val="FirstParagraph"/>
      </w:pPr>
      <w:r>
        <w:t xml:space="preserve">Produire</w:t>
      </w:r>
      <w:r>
        <w:t xml:space="preserve"> </w:t>
      </w:r>
      <w:r>
        <w:rPr>
          <w:bCs/>
          <w:b/>
        </w:rPr>
        <w:t xml:space="preserve">une vidéo démo</w:t>
      </w:r>
      <w:r>
        <w:t xml:space="preserve"> </w:t>
      </w:r>
      <w:r>
        <w:t xml:space="preserve">qui présente Agentium en deux volets complémentaires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Hyperviseur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t xml:space="preserve">“</w:t>
            </w:r>
            <w:r>
              <w:t xml:space="preserve">Level</w:t>
            </w:r>
            <w:r>
              <w:t xml:space="preserve">”</w:t>
            </w:r>
            <w:r>
              <w:t xml:space="preserve"> </w:t>
            </w:r>
            <w:r>
              <w:t xml:space="preserve">accessible aux décideurs. Comprendre où en est l’organisation et où elle se dirige. Visualisation + pilotage.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t xml:space="preserve">“</w:t>
            </w:r>
            <w:r>
              <w:t xml:space="preserve">coulisses</w:t>
            </w:r>
            <w:r>
              <w:t xml:space="preserve">”</w:t>
            </w:r>
            <w:r>
              <w:t xml:space="preserve"> </w:t>
            </w:r>
            <w:r>
              <w:t xml:space="preserve">: comment on connecte les données, capture la connaissance, et construit les agents/systèmes qui font tourner l’hyperviseur.</w:t>
            </w:r>
          </w:p>
        </w:tc>
      </w:tr>
    </w:tbl>
    <w:p>
      <w:pPr>
        <w:pStyle w:val="BodyText"/>
      </w:pPr>
      <w:r>
        <w:t xml:space="preserve">Note de méthode (rappelée en meeting) : certains écrans décrits sont une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liste au Père Noël</w:t>
      </w:r>
      <w:r>
        <w:rPr>
          <w:bCs/>
          <w:b/>
        </w:rPr>
        <w:t xml:space="preserve">”</w:t>
      </w:r>
      <w:r>
        <w:t xml:space="preserve"> </w:t>
      </w:r>
      <w:r>
        <w:t xml:space="preserve">— un mix de fonctionnalités déjà existantes et</w:t>
      </w:r>
      <w:r>
        <w:t xml:space="preserve"> </w:t>
      </w:r>
      <w:r>
        <w:t xml:space="preserve">d’éléments à construire/habiller pour la démo. À trier avant script final avec</w:t>
      </w:r>
      <w:r>
        <w:t xml:space="preserve"> </w:t>
      </w:r>
      <w:r>
        <w:t xml:space="preserve">la dev.</w:t>
      </w:r>
    </w:p>
    <w:p>
      <w:pPr>
        <w:pStyle w:val="BodyText"/>
      </w:pPr>
      <w:r>
        <w:t xml:space="preserve">Contrainte de narration : la vidéo doit inclure une</w:t>
      </w:r>
      <w:r>
        <w:t xml:space="preserve"> </w:t>
      </w:r>
      <w:r>
        <w:rPr>
          <w:bCs/>
          <w:b/>
        </w:rPr>
        <w:t xml:space="preserve">voix off/guidage</w:t>
      </w:r>
      <w:r>
        <w:t xml:space="preserve"> </w:t>
      </w:r>
      <w:r>
        <w:t xml:space="preserve">à</w:t>
      </w:r>
      <w:r>
        <w:t xml:space="preserve"> </w:t>
      </w:r>
      <w:r>
        <w:t xml:space="preserve">chaque transition d’écran, car un spectateur qui découvre l’outil pour la</w:t>
      </w:r>
      <w:r>
        <w:t xml:space="preserve"> </w:t>
      </w:r>
      <w:r>
        <w:t xml:space="preserve">première fois (prospect qui ne fait que regarder la vidéo, sans être guidé en</w:t>
      </w:r>
      <w:r>
        <w:t xml:space="preserve"> </w:t>
      </w:r>
      <w:r>
        <w:t xml:space="preserve">live) a besoin de repères pour comprendre ce qu’il voit.</w:t>
      </w:r>
    </w:p>
    <w:p>
      <w:r>
        <w:pict>
          <v:rect style="width:0;height:1.5pt" o:hralign="center" o:hrstd="t" o:hr="t"/>
        </w:pict>
      </w:r>
    </w:p>
    <w:bookmarkEnd w:id="20"/>
    <w:bookmarkStart w:id="25" w:name="volet-1-hyperviseur"/>
    <w:p>
      <w:pPr>
        <w:pStyle w:val="Heading2"/>
      </w:pPr>
      <w:r>
        <w:t xml:space="preserve">2. Volet 1 — Hyperviseur</w:t>
      </w:r>
    </w:p>
    <w:bookmarkStart w:id="21" w:name="étape-0-login"/>
    <w:p>
      <w:pPr>
        <w:pStyle w:val="Heading3"/>
      </w:pPr>
      <w:r>
        <w:t xml:space="preserve">2.1 Étape 0 — Login</w:t>
      </w:r>
    </w:p>
    <w:p>
      <w:pPr>
        <w:numPr>
          <w:ilvl w:val="0"/>
          <w:numId w:val="1001"/>
        </w:numPr>
        <w:pStyle w:val="Compact"/>
      </w:pPr>
      <w:r>
        <w:t xml:space="preserve">Écran de login classique, pas d’effet spécial recherché ici.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Laïus oral</w:t>
      </w:r>
      <w:r>
        <w:t xml:space="preserve"> </w:t>
      </w:r>
      <w:r>
        <w:t xml:space="preserve">à caler dessus : sécurité des accès, gestion fine des</w:t>
      </w:r>
      <w:r>
        <w:t xml:space="preserve"> </w:t>
      </w:r>
      <w:r>
        <w:t xml:space="preserve">autorisations (plusieurs niveaux d’accès possibles selon data / modules /</w:t>
      </w:r>
      <w:r>
        <w:t xml:space="preserve"> </w:t>
      </w:r>
      <w:r>
        <w:t xml:space="preserve">panneaux, etc.).</w:t>
      </w:r>
    </w:p>
    <w:bookmarkEnd w:id="21"/>
    <w:bookmarkStart w:id="22" w:name="étape-1-dashboard-à-la-connexion"/>
    <w:p>
      <w:pPr>
        <w:pStyle w:val="Heading3"/>
      </w:pPr>
      <w:r>
        <w:t xml:space="preserve">2.2 Étape 1 — Dashboard à la connexion</w:t>
      </w:r>
    </w:p>
    <w:p>
      <w:pPr>
        <w:pStyle w:val="FirstParagraph"/>
      </w:pPr>
      <w:r>
        <w:t xml:space="preserve">Premier écran vu après connexion : un tableau de bord</w:t>
      </w:r>
      <w:r>
        <w:t xml:space="preserve"> </w:t>
      </w:r>
      <w:r>
        <w:t xml:space="preserve">“</w:t>
      </w:r>
      <w:r>
        <w:t xml:space="preserve">état de l’organisation</w:t>
      </w:r>
      <w:r>
        <w:t xml:space="preserve"> </w:t>
      </w:r>
      <w:r>
        <w:t xml:space="preserve">à l’instant T</w:t>
      </w:r>
      <w:r>
        <w:t xml:space="preserve">”</w:t>
      </w:r>
      <w:r>
        <w:t xml:space="preserve">, combinant plusieurs types de visualisation sur un même écran :</w:t>
      </w:r>
    </w:p>
    <w:p>
      <w:pPr>
        <w:numPr>
          <w:ilvl w:val="0"/>
          <w:numId w:val="1002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carte</w:t>
      </w:r>
      <w:r>
        <w:t xml:space="preserve"> </w:t>
      </w:r>
      <w:r>
        <w:t xml:space="preserve">(map).</w:t>
      </w:r>
    </w:p>
    <w:p>
      <w:pPr>
        <w:numPr>
          <w:ilvl w:val="0"/>
          <w:numId w:val="1002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time series temps réel</w:t>
      </w:r>
      <w:r>
        <w:t xml:space="preserve"> </w:t>
      </w:r>
      <w:r>
        <w:t xml:space="preserve">(qui bouge, animée).</w:t>
      </w:r>
    </w:p>
    <w:p>
      <w:pPr>
        <w:numPr>
          <w:ilvl w:val="0"/>
          <w:numId w:val="1002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KPI</w:t>
      </w:r>
      <w:r>
        <w:t xml:space="preserve"> </w:t>
      </w:r>
      <w:r>
        <w:t xml:space="preserve">avec :</w:t>
      </w:r>
    </w:p>
    <w:p>
      <w:pPr>
        <w:numPr>
          <w:ilvl w:val="1"/>
          <w:numId w:val="1003"/>
        </w:numPr>
        <w:pStyle w:val="Compact"/>
      </w:pPr>
      <w:r>
        <w:t xml:space="preserve">la valeur actuelle,</w:t>
      </w:r>
    </w:p>
    <w:p>
      <w:pPr>
        <w:numPr>
          <w:ilvl w:val="1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mini-graphique d’historique associé</w:t>
      </w:r>
      <w:r>
        <w:t xml:space="preserve"> </w:t>
      </w:r>
      <w:r>
        <w:t xml:space="preserve">(type</w:t>
      </w:r>
      <w:r>
        <w:t xml:space="preserve"> </w:t>
      </w:r>
      <w:r>
        <w:t xml:space="preserve">“</w:t>
      </w:r>
      <w:r>
        <w:t xml:space="preserve">sparkline</w:t>
      </w:r>
      <w:r>
        <w:t xml:space="preserve">”</w:t>
      </w:r>
      <w:r>
        <w:t xml:space="preserve"> </w:t>
      </w:r>
      <w:r>
        <w:t xml:space="preserve">à la Google</w:t>
      </w:r>
      <w:r>
        <w:t xml:space="preserve"> </w:t>
      </w:r>
      <w:r>
        <w:t xml:space="preserve">Analytics/Stripe) montrant l’évolution récente,</w:t>
      </w:r>
    </w:p>
    <w:p>
      <w:pPr>
        <w:numPr>
          <w:ilvl w:val="1"/>
          <w:numId w:val="1003"/>
        </w:numPr>
        <w:pStyle w:val="Compact"/>
      </w:pPr>
      <w:r>
        <w:t xml:space="preserve">un indicateur de tendance (hausse/baisse) avec</w:t>
      </w:r>
      <w:r>
        <w:t xml:space="preserve"> </w:t>
      </w:r>
      <w:r>
        <w:rPr>
          <w:bCs/>
          <w:b/>
        </w:rPr>
        <w:t xml:space="preserve">code couleur</w:t>
      </w:r>
      <w:r>
        <w:t xml:space="preserve"> </w:t>
      </w:r>
      <w:r>
        <w:t xml:space="preserve">— attention :</w:t>
      </w:r>
      <w:r>
        <w:t xml:space="preserve"> </w:t>
      </w:r>
      <w:r>
        <w:t xml:space="preserve">la couleur</w:t>
      </w:r>
      <w:r>
        <w:t xml:space="preserve"> </w:t>
      </w:r>
      <w:r>
        <w:t xml:space="preserve">“</w:t>
      </w:r>
      <w:r>
        <w:t xml:space="preserve">positive/négative</w:t>
      </w:r>
      <w:r>
        <w:t xml:space="preserve">”</w:t>
      </w:r>
      <w:r>
        <w:t xml:space="preserve"> </w:t>
      </w:r>
      <w:r>
        <w:t xml:space="preserve">ne doit pas être câblée bêtement sur</w:t>
      </w:r>
      <w:r>
        <w:t xml:space="preserve"> </w:t>
      </w:r>
      <w:r>
        <w:t xml:space="preserve">hausse=vert/baisse=rouge, il faut réfléchir métrique par métrique (une</w:t>
      </w:r>
      <w:r>
        <w:t xml:space="preserve"> </w:t>
      </w:r>
      <w:r>
        <w:t xml:space="preserve">baisse peut être une bonne nouvelle selon le KPI).</w:t>
      </w:r>
    </w:p>
    <w:p>
      <w:pPr>
        <w:numPr>
          <w:ilvl w:val="0"/>
          <w:numId w:val="1002"/>
        </w:numPr>
        <w:pStyle w:val="Compact"/>
      </w:pPr>
      <w:r>
        <w:t xml:space="preserve">Pour certains KPI : une</w:t>
      </w:r>
      <w:r>
        <w:t xml:space="preserve"> </w:t>
      </w:r>
      <w:r>
        <w:rPr>
          <w:bCs/>
          <w:b/>
        </w:rPr>
        <w:t xml:space="preserve">projection/prédiction</w:t>
      </w:r>
      <w:r>
        <w:t xml:space="preserve"> </w:t>
      </w:r>
      <w:r>
        <w:t xml:space="preserve">(valeur actuelle vs valeur</w:t>
      </w:r>
      <w:r>
        <w:t xml:space="preserve"> </w:t>
      </w:r>
      <w:r>
        <w:t xml:space="preserve">prédite en fin d’année, ou courbe sur 12 mois passés + 12 mois projetés),</w:t>
      </w:r>
      <w:r>
        <w:t xml:space="preserve"> </w:t>
      </w:r>
      <w:r>
        <w:t xml:space="preserve">éventuellement avec un</w:t>
      </w:r>
      <w:r>
        <w:t xml:space="preserve"> </w:t>
      </w:r>
      <w:r>
        <w:rPr>
          <w:bCs/>
          <w:b/>
        </w:rPr>
        <w:t xml:space="preserve">indice de confiance</w:t>
      </w:r>
      <w:r>
        <w:t xml:space="preserve">.</w:t>
      </w:r>
    </w:p>
    <w:p>
      <w:pPr>
        <w:pStyle w:val="FirstParagraph"/>
      </w:pPr>
      <w:r>
        <w:t xml:space="preserve">But de l’écran : montrer la diversité de visualisation disponible et donner</w:t>
      </w:r>
      <w:r>
        <w:t xml:space="preserve"> </w:t>
      </w:r>
      <w:r>
        <w:t xml:space="preserve">l’impression d’un vrai centre de pilotage, pas juste un dashboard statique.</w:t>
      </w:r>
    </w:p>
    <w:bookmarkEnd w:id="22"/>
    <w:bookmarkStart w:id="23" w:name="X0a79f4d765ed379f8d5e26307484476041e836a"/>
    <w:p>
      <w:pPr>
        <w:pStyle w:val="Heading3"/>
      </w:pPr>
      <w:r>
        <w:t xml:space="preserve">2.3 Étape 2 — Création d’un KPI custom en langage naturel (effet wow #1)</w:t>
      </w:r>
    </w:p>
    <w:p>
      <w:pPr>
        <w:pStyle w:val="FirstParagraph"/>
      </w:pPr>
      <w:r>
        <w:t xml:space="preserve">Démonstration que l’hyperviseur n’est pas un dashboard figé :</w:t>
      </w:r>
    </w:p>
    <w:p>
      <w:pPr>
        <w:numPr>
          <w:ilvl w:val="0"/>
          <w:numId w:val="1004"/>
        </w:numPr>
        <w:pStyle w:val="Compact"/>
      </w:pPr>
      <w:r>
        <w:t xml:space="preserve">L’utilisateur demande, en langage naturel, la création d’un</w:t>
      </w:r>
      <w:r>
        <w:t xml:space="preserve"> </w:t>
      </w:r>
      <w:r>
        <w:rPr>
          <w:bCs/>
          <w:b/>
        </w:rPr>
        <w:t xml:space="preserve">KPI</w:t>
      </w:r>
      <w:r>
        <w:rPr>
          <w:bCs/>
          <w:b/>
        </w:rPr>
        <w:t xml:space="preserve"> </w:t>
      </w:r>
      <w:r>
        <w:rPr>
          <w:bCs/>
          <w:b/>
        </w:rPr>
        <w:t xml:space="preserve">volontairement exotique</w:t>
      </w:r>
      <w:r>
        <w:t xml:space="preserve"> </w:t>
      </w:r>
      <w:r>
        <w:t xml:space="preserve">(ex.</w:t>
      </w:r>
      <w:r>
        <w:t xml:space="preserve"> </w:t>
      </w:r>
      <w:r>
        <w:t xml:space="preserve">“</w:t>
      </w:r>
      <w:r>
        <w:t xml:space="preserve">ratio nombre d’utilisateurs / coût cloud</w:t>
      </w:r>
      <w:r>
        <w:t xml:space="preserve">”</w:t>
      </w:r>
      <w:r>
        <w:t xml:space="preserve">) —</w:t>
      </w:r>
      <w:r>
        <w:t xml:space="preserve"> </w:t>
      </w:r>
      <w:r>
        <w:t xml:space="preserve">volontairement non-standard pour bien montrer que ce n’est pas un KPI</w:t>
      </w:r>
      <w:r>
        <w:t xml:space="preserve"> </w:t>
      </w:r>
      <w:r>
        <w:t xml:space="preserve">natif pré-câblé (un</w:t>
      </w:r>
      <w:r>
        <w:t xml:space="preserve"> </w:t>
      </w:r>
      <w:r>
        <w:t xml:space="preserve">“</w:t>
      </w:r>
      <w:r>
        <w:t xml:space="preserve">taux de marge</w:t>
      </w:r>
      <w:r>
        <w:t xml:space="preserve">”</w:t>
      </w:r>
      <w:r>
        <w:t xml:space="preserve"> </w:t>
      </w:r>
      <w:r>
        <w:t xml:space="preserve">serait trop générique/déjà présent</w:t>
      </w:r>
      <w:r>
        <w:t xml:space="preserve"> </w:t>
      </w:r>
      <w:r>
        <w:t xml:space="preserve">dans un bilan).</w:t>
      </w:r>
    </w:p>
    <w:p>
      <w:pPr>
        <w:numPr>
          <w:ilvl w:val="0"/>
          <w:numId w:val="1004"/>
        </w:numPr>
        <w:pStyle w:val="Compact"/>
      </w:pPr>
      <w:r>
        <w:t xml:space="preserve">Idéalement, le système répond en mode conversationnel : propose les</w:t>
      </w:r>
      <w:r>
        <w:t xml:space="preserve"> </w:t>
      </w:r>
      <w:r>
        <w:t xml:space="preserve">données d’entrée trouvées, pose des questions de clarification, demande</w:t>
      </w:r>
      <w:r>
        <w:t xml:space="preserve"> </w:t>
      </w:r>
      <w:r>
        <w:t xml:space="preserve">validation à l’utilisateur avant de créer le KPI.</w:t>
      </w:r>
    </w:p>
    <w:p>
      <w:pPr>
        <w:numPr>
          <w:ilvl w:val="0"/>
          <w:numId w:val="1004"/>
        </w:numPr>
        <w:pStyle w:val="Compact"/>
      </w:pPr>
      <w:r>
        <w:t xml:space="preserve">Au moment de la création, cases à cocher pour choisir :</w:t>
      </w:r>
    </w:p>
    <w:p>
      <w:pPr>
        <w:numPr>
          <w:ilvl w:val="1"/>
          <w:numId w:val="1005"/>
        </w:numPr>
        <w:pStyle w:val="Compact"/>
      </w:pPr>
      <w:r>
        <w:t xml:space="preserve">vue instantanée simple vs. </w:t>
      </w:r>
      <w:r>
        <w:rPr>
          <w:bCs/>
          <w:b/>
        </w:rPr>
        <w:t xml:space="preserve">graphique d’évolution</w:t>
      </w:r>
      <w:r>
        <w:t xml:space="preserve">,</w:t>
      </w:r>
    </w:p>
    <w:p>
      <w:pPr>
        <w:numPr>
          <w:ilvl w:val="1"/>
          <w:numId w:val="1005"/>
        </w:numPr>
        <w:pStyle w:val="Compact"/>
      </w:pPr>
      <w:r>
        <w:t xml:space="preserve">avec ou sans</w:t>
      </w:r>
      <w:r>
        <w:t xml:space="preserve"> </w:t>
      </w:r>
      <w:r>
        <w:rPr>
          <w:bCs/>
          <w:b/>
        </w:rPr>
        <w:t xml:space="preserve">prédiction</w:t>
      </w:r>
      <w:r>
        <w:t xml:space="preserve"> </w:t>
      </w:r>
      <w:r>
        <w:t xml:space="preserve">(pas systématique — certains KPI n’ont pas</w:t>
      </w:r>
      <w:r>
        <w:t xml:space="preserve"> </w:t>
      </w:r>
      <w:r>
        <w:t xml:space="preserve">d’intérêt à être prédits).</w:t>
      </w:r>
    </w:p>
    <w:p>
      <w:pPr>
        <w:pStyle w:val="FirstParagraph"/>
      </w:pPr>
      <w:r>
        <w:t xml:space="preserve">Message clé : l’utilisateur construit lui-même le tableau de bord</w:t>
      </w:r>
      <w:r>
        <w:t xml:space="preserve"> </w:t>
      </w:r>
      <w:r>
        <w:t xml:space="preserve">“</w:t>
      </w:r>
      <w:r>
        <w:t xml:space="preserve">le plus</w:t>
      </w:r>
      <w:r>
        <w:t xml:space="preserve"> </w:t>
      </w:r>
      <w:r>
        <w:t xml:space="preserve">sexy possible</w:t>
      </w:r>
      <w:r>
        <w:t xml:space="preserve">”</w:t>
      </w:r>
      <w:r>
        <w:t xml:space="preserve"> </w:t>
      </w:r>
      <w:r>
        <w:t xml:space="preserve">avec les briques qu’il veut.</w:t>
      </w:r>
    </w:p>
    <w:bookmarkEnd w:id="23"/>
    <w:bookmarkStart w:id="24" w:name="note-de-positionnement"/>
    <w:p>
      <w:pPr>
        <w:pStyle w:val="Heading3"/>
      </w:pPr>
      <w:r>
        <w:t xml:space="preserve">2.4 Note de positionnement</w:t>
      </w:r>
    </w:p>
    <w:p>
      <w:pPr>
        <w:pStyle w:val="FirstParagraph"/>
      </w:pPr>
      <w:r>
        <w:t xml:space="preserve">L’hyperviseur (tel que décrit ci-dessus) reste de la</w:t>
      </w:r>
      <w:r>
        <w:t xml:space="preserve"> </w:t>
      </w:r>
      <w:r>
        <w:rPr>
          <w:bCs/>
          <w:b/>
        </w:rPr>
        <w:t xml:space="preserve">visualisation + un peu</w:t>
      </w:r>
      <w:r>
        <w:rPr>
          <w:bCs/>
          <w:b/>
        </w:rPr>
        <w:t xml:space="preserve"> </w:t>
      </w:r>
      <w:r>
        <w:rPr>
          <w:bCs/>
          <w:b/>
        </w:rPr>
        <w:t xml:space="preserve">de prédiction</w:t>
      </w:r>
      <w:r>
        <w:t xml:space="preserve">, pas de l’action autonome comme le ferait un agent IA. Bien</w:t>
      </w:r>
      <w:r>
        <w:t xml:space="preserve"> </w:t>
      </w:r>
      <w:r>
        <w:t xml:space="preserve">distinguer ce narratif de celui du volet Agent Factory.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volet-2-agent-factory"/>
    <w:p>
      <w:pPr>
        <w:pStyle w:val="Heading2"/>
      </w:pPr>
      <w:r>
        <w:t xml:space="preserve">3. Volet 2 — Agent Factory</w:t>
      </w:r>
    </w:p>
    <w:bookmarkStart w:id="26" w:name="étape-0-mise-en-situation-abstraite"/>
    <w:p>
      <w:pPr>
        <w:pStyle w:val="Heading3"/>
      </w:pPr>
      <w:r>
        <w:t xml:space="preserve">3.1 Étape 0 — Mise en situation abstraite</w:t>
      </w:r>
    </w:p>
    <w:p>
      <w:pPr>
        <w:pStyle w:val="FirstParagraph"/>
      </w:pPr>
      <w:r>
        <w:t xml:space="preserve">Avant de rentrer dans l’outil : montrer un</w:t>
      </w:r>
      <w:r>
        <w:t xml:space="preserve"> </w:t>
      </w:r>
      <w:r>
        <w:rPr>
          <w:bCs/>
          <w:b/>
        </w:rPr>
        <w:t xml:space="preserve">schéma d’une organisation client</w:t>
      </w:r>
      <w:r>
        <w:rPr>
          <w:bCs/>
          <w:b/>
        </w:rPr>
        <w:t xml:space="preserve"> </w:t>
      </w:r>
      <w:r>
        <w:rPr>
          <w:bCs/>
          <w:b/>
        </w:rPr>
        <w:t xml:space="preserve">abstraite</w:t>
      </w:r>
      <w:r>
        <w:t xml:space="preserve"> </w:t>
      </w:r>
      <w:r>
        <w:t xml:space="preserve">(pas un vrai client nommé) —</w:t>
      </w:r>
      <w:r>
        <w:t xml:space="preserve"> </w:t>
      </w:r>
      <w:r>
        <w:t xml:space="preserve">“</w:t>
      </w:r>
      <w:r>
        <w:t xml:space="preserve">telle base de données, tel</w:t>
      </w:r>
      <w:r>
        <w:t xml:space="preserve"> </w:t>
      </w:r>
      <w:r>
        <w:t xml:space="preserve">repository PDF, tel repository d’images…</w:t>
      </w:r>
      <w:r>
        <w:t xml:space="preserve">”</w:t>
      </w:r>
      <w:r>
        <w:t xml:space="preserve">. Support hors-outil (slide/schéma)</w:t>
      </w:r>
      <w:r>
        <w:t xml:space="preserve"> </w:t>
      </w:r>
      <w:r>
        <w:t xml:space="preserve">qui pose le contexte avant de basculer sur les connecteurs réels.</w:t>
      </w:r>
    </w:p>
    <w:bookmarkEnd w:id="26"/>
    <w:bookmarkStart w:id="27" w:name="Xbff3d00be71c3c3f5aecbaafcd81d4af2361f9f"/>
    <w:p>
      <w:pPr>
        <w:pStyle w:val="Heading3"/>
      </w:pPr>
      <w:r>
        <w:t xml:space="preserve">3.2 Étape 1 — Connecteurs (preuve d’accès réel aux données)</w:t>
      </w:r>
    </w:p>
    <w:p>
      <w:pPr>
        <w:pStyle w:val="FirstParagraph"/>
      </w:pPr>
      <w:r>
        <w:t xml:space="preserve">Séquence proposée :</w:t>
      </w:r>
    </w:p>
    <w:p>
      <w:pPr>
        <w:numPr>
          <w:ilvl w:val="0"/>
          <w:numId w:val="1006"/>
        </w:numPr>
        <w:pStyle w:val="Compact"/>
      </w:pPr>
      <w:r>
        <w:t xml:space="preserve">Montrer la</w:t>
      </w:r>
      <w:r>
        <w:t xml:space="preserve"> </w:t>
      </w:r>
      <w:r>
        <w:rPr>
          <w:bCs/>
          <w:b/>
        </w:rPr>
        <w:t xml:space="preserve">liste des connecteurs existants</w:t>
      </w:r>
      <w:r>
        <w:t xml:space="preserve"> </w:t>
      </w:r>
      <w:r>
        <w:t xml:space="preserve">(souligner la diversité :</w:t>
      </w:r>
      <w:r>
        <w:t xml:space="preserve"> </w:t>
      </w:r>
      <w:r>
        <w:t xml:space="preserve">pas que du Postgres/SQL classique, aussi des sources non structurées —</w:t>
      </w:r>
      <w:r>
        <w:t xml:space="preserve"> </w:t>
      </w:r>
      <w:r>
        <w:t xml:space="preserve">fichiers, WhatsApp, etc. — sans forcément tout démontrer).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Créer une connexion en direct</w:t>
      </w:r>
      <w:r>
        <w:t xml:space="preserve"> </w:t>
      </w:r>
      <w:r>
        <w:t xml:space="preserve">(ex. connecteur SFTP), pas trop long.</w:t>
      </w:r>
    </w:p>
    <w:p>
      <w:pPr>
        <w:numPr>
          <w:ilvl w:val="0"/>
          <w:numId w:val="1006"/>
        </w:numPr>
        <w:pStyle w:val="Compact"/>
      </w:pPr>
      <w:r>
        <w:t xml:space="preserve">Naviguer dans les données une fois connecté (illustration : SFTP Andritz).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Ouvrir un fichier concret</w:t>
      </w:r>
      <w:r>
        <w:t xml:space="preserve"> </w:t>
      </w:r>
      <w:r>
        <w:t xml:space="preserve">(ex. un PDF avec une image mémorable/repérable)</w:t>
      </w:r>
      <w:r>
        <w:t xml:space="preserve"> </w:t>
      </w:r>
      <w:r>
        <w:t xml:space="preserve">directement depuis le connecteur → preuve d’accès réel, pas de la donnée</w:t>
      </w:r>
      <w:r>
        <w:t xml:space="preserve"> </w:t>
      </w:r>
      <w:r>
        <w:t xml:space="preserve">factice.</w:t>
      </w:r>
    </w:p>
    <w:p>
      <w:pPr>
        <w:numPr>
          <w:ilvl w:val="0"/>
          <w:numId w:val="1006"/>
        </w:numPr>
        <w:pStyle w:val="Compact"/>
      </w:pPr>
      <w:r>
        <w:t xml:space="preserve">Ouvrir</w:t>
      </w:r>
      <w:r>
        <w:t xml:space="preserve"> </w:t>
      </w:r>
      <w:r>
        <w:rPr>
          <w:bCs/>
          <w:b/>
        </w:rPr>
        <w:t xml:space="preserve">le même fichier</w:t>
      </w:r>
      <w:r>
        <w:t xml:space="preserve">, mais cette fois</w:t>
      </w:r>
      <w:r>
        <w:t xml:space="preserve"> </w:t>
      </w:r>
      <w:r>
        <w:rPr>
          <w:bCs/>
          <w:b/>
        </w:rPr>
        <w:t xml:space="preserve">depuis le chat Agentium</w:t>
      </w:r>
      <w:r>
        <w:t xml:space="preserve"> </w:t>
      </w:r>
      <w:r>
        <w:t xml:space="preserve">(cité comme source) → boucle de preuve :</w:t>
      </w:r>
      <w:r>
        <w:t xml:space="preserve"> </w:t>
      </w:r>
      <w:r>
        <w:t xml:space="preserve">“</w:t>
      </w:r>
      <w:r>
        <w:t xml:space="preserve">ce que je viens de montrer en</w:t>
      </w:r>
      <w:r>
        <w:t xml:space="preserve"> </w:t>
      </w:r>
      <w:r>
        <w:t xml:space="preserve">brut dans le connecteur est bien ce qui a été interprété/ingéré par</w:t>
      </w:r>
      <w:r>
        <w:t xml:space="preserve"> </w:t>
      </w:r>
      <w:r>
        <w:t xml:space="preserve">Agentium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But : au moins</w:t>
      </w:r>
      <w:r>
        <w:t xml:space="preserve"> </w:t>
      </w:r>
      <w:r>
        <w:rPr>
          <w:bCs/>
          <w:b/>
        </w:rPr>
        <w:t xml:space="preserve">une source connectée et démontrée en live</w:t>
      </w:r>
      <w:r>
        <w:t xml:space="preserve"> </w:t>
      </w:r>
      <w:r>
        <w:t xml:space="preserve">pendant la démo,</w:t>
      </w:r>
      <w:r>
        <w:t xml:space="preserve"> </w:t>
      </w:r>
      <w:r>
        <w:t xml:space="preserve">avec mention qu’il en existe d’autres (diversité de connecteurs) sans devoir</w:t>
      </w:r>
      <w:r>
        <w:t xml:space="preserve"> </w:t>
      </w:r>
      <w:r>
        <w:t xml:space="preserve">toutes les montrer.</w:t>
      </w:r>
    </w:p>
    <w:bookmarkEnd w:id="27"/>
    <w:bookmarkStart w:id="28" w:name="Xbc63c3303a65bcad135bcfc72bc68f6e624f757"/>
    <w:p>
      <w:pPr>
        <w:pStyle w:val="Heading3"/>
      </w:pPr>
      <w:r>
        <w:t xml:space="preserve">3.3 Étape 2 — RAG transverse multi-documents (effet wow #2)</w:t>
      </w:r>
    </w:p>
    <w:p>
      <w:pPr>
        <w:pStyle w:val="FirstParagraph"/>
      </w:pPr>
      <w:r>
        <w:t xml:space="preserve">Use case : des centaines/milliers de documents de plusieurs centaines de</w:t>
      </w:r>
      <w:r>
        <w:t xml:space="preserve"> </w:t>
      </w:r>
      <w:r>
        <w:t xml:space="preserve">pages chacun ; la réponse à une question n’est</w:t>
      </w:r>
      <w:r>
        <w:t xml:space="preserve"> </w:t>
      </w:r>
      <w:r>
        <w:rPr>
          <w:bCs/>
          <w:b/>
        </w:rPr>
        <w:t xml:space="preserve">pas dans un seul document</w:t>
      </w:r>
      <w:r>
        <w:t xml:space="preserve"> </w:t>
      </w:r>
      <w:r>
        <w:t xml:space="preserve">mais nécessite de</w:t>
      </w:r>
      <w:r>
        <w:t xml:space="preserve"> </w:t>
      </w:r>
      <w:r>
        <w:rPr>
          <w:bCs/>
          <w:b/>
        </w:rPr>
        <w:t xml:space="preserve">combiner des informations éparpillées</w:t>
      </w:r>
      <w:r>
        <w:t xml:space="preserve"> </w:t>
      </w:r>
      <w:r>
        <w:t xml:space="preserve">dans plusieurs</w:t>
      </w:r>
      <w:r>
        <w:t xml:space="preserve"> </w:t>
      </w:r>
      <w:r>
        <w:t xml:space="preserve">documents.</w:t>
      </w:r>
    </w:p>
    <w:p>
      <w:pPr>
        <w:numPr>
          <w:ilvl w:val="0"/>
          <w:numId w:val="1007"/>
        </w:numPr>
        <w:pStyle w:val="Compact"/>
      </w:pPr>
      <w:r>
        <w:t xml:space="preserve">Exemple filmé : question transverse type inventaire sur &gt;100 000 documents</w:t>
      </w:r>
      <w:r>
        <w:t xml:space="preserve"> </w:t>
      </w:r>
      <w:r>
        <w:t xml:space="preserve">(</w:t>
      </w:r>
      <w:r>
        <w:t xml:space="preserve">“</w:t>
      </w:r>
      <w:r>
        <w:t xml:space="preserve">quels sont les projets qui utilisent des pompes Huraka ?</w:t>
      </w:r>
      <w:r>
        <w:t xml:space="preserve">”</w:t>
      </w:r>
      <w:r>
        <w:t xml:space="preserve">) → réponse</w:t>
      </w:r>
      <w:r>
        <w:t xml:space="preserve"> </w:t>
      </w:r>
      <w:r>
        <w:t xml:space="preserve">exhaustive avec</w:t>
      </w:r>
      <w:r>
        <w:t xml:space="preserve"> </w:t>
      </w:r>
      <w:r>
        <w:rPr>
          <w:bCs/>
          <w:b/>
        </w:rPr>
        <w:t xml:space="preserve">liste de projets + sources citées</w:t>
      </w:r>
      <w:r>
        <w:t xml:space="preserve"> </w:t>
      </w:r>
      <w:r>
        <w:t xml:space="preserve">(PDF ouvrables et</w:t>
      </w:r>
      <w:r>
        <w:t xml:space="preserve"> </w:t>
      </w:r>
      <w:r>
        <w:t xml:space="preserve">vérifiables à chaque citation).</w:t>
      </w:r>
    </w:p>
    <w:p>
      <w:pPr>
        <w:numPr>
          <w:ilvl w:val="0"/>
          <w:numId w:val="1007"/>
        </w:numPr>
        <w:pStyle w:val="Compact"/>
      </w:pPr>
      <w:r>
        <w:t xml:space="preserve">Enchaîner avec une</w:t>
      </w:r>
      <w:r>
        <w:t xml:space="preserve"> </w:t>
      </w:r>
      <w:r>
        <w:rPr>
          <w:bCs/>
          <w:b/>
        </w:rPr>
        <w:t xml:space="preserve">question de suivi qui garde le contexte de session</w:t>
      </w:r>
      <w:r>
        <w:t xml:space="preserve"> </w:t>
      </w:r>
      <w:r>
        <w:t xml:space="preserve">(ex.</w:t>
      </w:r>
      <w:r>
        <w:t xml:space="preserve"> </w:t>
      </w:r>
      <w:r>
        <w:t xml:space="preserve">“</w:t>
      </w:r>
      <w:r>
        <w:t xml:space="preserve">durée de vie moyenne des pompes les plus utilisées</w:t>
      </w:r>
      <w:r>
        <w:t xml:space="preserve">”</w:t>
      </w:r>
      <w:r>
        <w:t xml:space="preserve">) pour montrer la</w:t>
      </w:r>
      <w:r>
        <w:t xml:space="preserve"> </w:t>
      </w:r>
      <w:r>
        <w:t xml:space="preserve">mémoire conversationnelle.</w:t>
      </w:r>
    </w:p>
    <w:p>
      <w:pPr>
        <w:numPr>
          <w:ilvl w:val="0"/>
          <w:numId w:val="1007"/>
        </w:numPr>
        <w:pStyle w:val="Compact"/>
      </w:pPr>
      <w:r>
        <w:t xml:space="preserve">Cas encore plus fort à construire si possible :</w:t>
      </w:r>
      <w:r>
        <w:t xml:space="preserve"> </w:t>
      </w:r>
      <w:r>
        <w:rPr>
          <w:bCs/>
          <w:b/>
        </w:rPr>
        <w:t xml:space="preserve">combiner une source PDF</w:t>
      </w:r>
      <w:r>
        <w:rPr>
          <w:bCs/>
          <w:b/>
        </w:rPr>
        <w:t xml:space="preserve"> </w:t>
      </w:r>
      <w:r>
        <w:rPr>
          <w:bCs/>
          <w:b/>
        </w:rPr>
        <w:t xml:space="preserve">avec une source non-PDF</w:t>
      </w:r>
      <w:r>
        <w:t xml:space="preserve"> </w:t>
      </w:r>
      <w:r>
        <w:t xml:space="preserve">(ex. base de données d’incidents/pannes de</w:t>
      </w:r>
      <w:r>
        <w:t xml:space="preserve"> </w:t>
      </w:r>
      <w:r>
        <w:t xml:space="preserve">maintenance) dans la même réponse → identifié en meeting comme</w:t>
      </w:r>
      <w:r>
        <w:t xml:space="preserve"> </w:t>
      </w:r>
      <w:r>
        <w:rPr>
          <w:bCs/>
          <w:b/>
        </w:rPr>
        <w:t xml:space="preserve">le vrai</w:t>
      </w:r>
      <w:r>
        <w:rPr>
          <w:bCs/>
          <w:b/>
        </w:rPr>
        <w:t xml:space="preserve"> </w:t>
      </w:r>
      <w:r>
        <w:rPr>
          <w:bCs/>
          <w:b/>
        </w:rPr>
        <w:t xml:space="preserve">effet wow</w:t>
      </w:r>
      <w:r>
        <w:t xml:space="preserve"> </w:t>
      </w:r>
      <w:r>
        <w:t xml:space="preserve">de ce segment.</w:t>
      </w:r>
    </w:p>
    <w:p>
      <w:pPr>
        <w:numPr>
          <w:ilvl w:val="0"/>
          <w:numId w:val="1007"/>
        </w:numPr>
        <w:pStyle w:val="Compact"/>
      </w:pPr>
      <w:r>
        <w:t xml:space="preserve">À anonymiser/généraliser (ne pas garder l’exemple Andritz brut tel quel</w:t>
      </w:r>
      <w:r>
        <w:t xml:space="preserve"> </w:t>
      </w:r>
      <w:r>
        <w:t xml:space="preserve">pour un prospect externe).</w:t>
      </w:r>
    </w:p>
    <w:bookmarkEnd w:id="28"/>
    <w:bookmarkStart w:id="29" w:name="X9906526aa84c2ac4e289a1bba7766663ba03010"/>
    <w:p>
      <w:pPr>
        <w:pStyle w:val="Heading3"/>
      </w:pPr>
      <w:r>
        <w:t xml:space="preserve">3.4 Étape 3 — Capture de connaissance vocale (effet wow #3 — le plus fort)</w:t>
      </w:r>
    </w:p>
    <w:p>
      <w:pPr>
        <w:pStyle w:val="FirstParagraph"/>
      </w:pPr>
      <w:r>
        <w:t xml:space="preserve">C’est la démonstration jugée en meeting comme</w:t>
      </w:r>
      <w:r>
        <w:t xml:space="preserve"> </w:t>
      </w:r>
      <w:r>
        <w:rPr>
          <w:bCs/>
          <w:b/>
        </w:rPr>
        <w:t xml:space="preserve">la plus différenciante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notre mérite n’est pas le speech-to-text (on utilise Whisper, rien</w:t>
      </w:r>
      <w:r>
        <w:t xml:space="preserve"> </w:t>
      </w:r>
      <w:r>
        <w:t xml:space="preserve">d’inventé) — notre mérite est l’orchestration : base de connaissance + RAG +</w:t>
      </w:r>
      <w:r>
        <w:t xml:space="preserve"> </w:t>
      </w:r>
      <w:r>
        <w:t xml:space="preserve">multi-threading de questions sans interrompre l’expert + gestion de pièces</w:t>
      </w:r>
      <w:r>
        <w:t xml:space="preserve"> </w:t>
      </w:r>
      <w:r>
        <w:t xml:space="preserve">jointes annotées + synthèse + publication.</w:t>
      </w:r>
      <w:r>
        <w:t xml:space="preserve">”</w:t>
      </w:r>
    </w:p>
    <w:p>
      <w:pPr>
        <w:pStyle w:val="BodyText"/>
      </w:pPr>
      <w:r>
        <w:t xml:space="preserve">Séquence à filmer :</w:t>
      </w:r>
    </w:p>
    <w:p>
      <w:pPr>
        <w:numPr>
          <w:ilvl w:val="0"/>
          <w:numId w:val="1008"/>
        </w:numPr>
        <w:pStyle w:val="Compact"/>
      </w:pPr>
      <w:r>
        <w:t xml:space="preserve">L’utilisateur (jouant le rôle d’un</w:t>
      </w:r>
      <w:r>
        <w:t xml:space="preserve"> </w:t>
      </w:r>
      <w:r>
        <w:rPr>
          <w:bCs/>
          <w:b/>
        </w:rPr>
        <w:t xml:space="preserve">expert qui transmet son savoir</w:t>
      </w:r>
      <w:r>
        <w:t xml:space="preserve">)</w:t>
      </w:r>
      <w:r>
        <w:t xml:space="preserve"> </w:t>
      </w:r>
      <w:r>
        <w:t xml:space="preserve">parle au micro ; la transcription apparaît en temps réel (thread 1 :</w:t>
      </w:r>
      <w:r>
        <w:t xml:space="preserve"> </w:t>
      </w:r>
      <w:r>
        <w:t xml:space="preserve">speech-to-text).</w:t>
      </w:r>
    </w:p>
    <w:p>
      <w:pPr>
        <w:numPr>
          <w:ilvl w:val="0"/>
          <w:numId w:val="1008"/>
        </w:numPr>
        <w:pStyle w:val="Compact"/>
      </w:pPr>
      <w:r>
        <w:t xml:space="preserve">En parallèle (thread 2), le système</w:t>
      </w:r>
      <w:r>
        <w:t xml:space="preserve"> </w:t>
      </w:r>
      <w:r>
        <w:rPr>
          <w:bCs/>
          <w:b/>
        </w:rPr>
        <w:t xml:space="preserve">génère des questions de clarification</w:t>
      </w:r>
      <w:r>
        <w:t xml:space="preserve"> </w:t>
      </w:r>
      <w:r>
        <w:t xml:space="preserve">à partir de la base de connaissance existante (RAG sur les documents déjà</w:t>
      </w:r>
      <w:r>
        <w:t xml:space="preserve"> </w:t>
      </w:r>
      <w:r>
        <w:t xml:space="preserve">indexés) pour aider l’expert à préciser son propos — sans l’interrompre.</w:t>
      </w:r>
    </w:p>
    <w:p>
      <w:pPr>
        <w:numPr>
          <w:ilvl w:val="1"/>
          <w:numId w:val="1009"/>
        </w:numPr>
        <w:pStyle w:val="Compact"/>
      </w:pPr>
      <w:r>
        <w:t xml:space="preserve">Effet bonus recherché : si l’oracle détecte une</w:t>
      </w:r>
      <w:r>
        <w:t xml:space="preserve"> </w:t>
      </w:r>
      <w:r>
        <w:rPr>
          <w:bCs/>
          <w:b/>
        </w:rPr>
        <w:t xml:space="preserve">incohérence</w:t>
      </w:r>
      <w:r>
        <w:t xml:space="preserve"> </w:t>
      </w:r>
      <w:r>
        <w:t xml:space="preserve">entre ce</w:t>
      </w:r>
      <w:r>
        <w:t xml:space="preserve"> </w:t>
      </w:r>
      <w:r>
        <w:t xml:space="preserve">que dit l’expert et la documentation existante (ex. un diamètre</w:t>
      </w:r>
      <w:r>
        <w:t xml:space="preserve"> </w:t>
      </w:r>
      <w:r>
        <w:t xml:space="preserve">différent), il peut le signaler.</w:t>
      </w:r>
    </w:p>
    <w:p>
      <w:pPr>
        <w:numPr>
          <w:ilvl w:val="0"/>
          <w:numId w:val="1008"/>
        </w:numPr>
        <w:pStyle w:val="Compact"/>
      </w:pPr>
      <w:r>
        <w:t xml:space="preserve">L’expert peut</w:t>
      </w:r>
      <w:r>
        <w:t xml:space="preserve"> </w:t>
      </w:r>
      <w:r>
        <w:rPr>
          <w:bCs/>
          <w:b/>
        </w:rPr>
        <w:t xml:space="preserve">charger une pièce jointe en direct</w:t>
      </w:r>
      <w:r>
        <w:t xml:space="preserve"> </w:t>
      </w:r>
      <w:r>
        <w:t xml:space="preserve">(ex. une notice PDF)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naviguer dedans pendant qu’il parle</w:t>
      </w:r>
      <w:r>
        <w:t xml:space="preserve"> </w:t>
      </w:r>
      <w:r>
        <w:t xml:space="preserve">— le système</w:t>
      </w:r>
      <w:r>
        <w:t xml:space="preserve"> </w:t>
      </w:r>
      <w:r>
        <w:rPr>
          <w:bCs/>
          <w:b/>
        </w:rPr>
        <w:t xml:space="preserve">marque/annote</w:t>
      </w:r>
      <w:r>
        <w:t xml:space="preserve"> </w:t>
      </w:r>
      <w:r>
        <w:t xml:space="preserve">dans le transcript la page présentée à l’instant où elle est commentée.</w:t>
      </w:r>
    </w:p>
    <w:p>
      <w:pPr>
        <w:numPr>
          <w:ilvl w:val="0"/>
          <w:numId w:val="1008"/>
        </w:numPr>
        <w:pStyle w:val="Compact"/>
      </w:pPr>
      <w:r>
        <w:t xml:space="preserve">À la fin de la session : génération d’un</w:t>
      </w:r>
      <w:r>
        <w:t xml:space="preserve"> </w:t>
      </w:r>
      <w:r>
        <w:rPr>
          <w:bCs/>
          <w:b/>
        </w:rPr>
        <w:t xml:space="preserve">rapport de synthèse</w:t>
      </w:r>
      <w:r>
        <w:t xml:space="preserve"> </w:t>
      </w:r>
      <w:r>
        <w:t xml:space="preserve">qui</w:t>
      </w:r>
      <w:r>
        <w:t xml:space="preserve"> </w:t>
      </w:r>
      <w:r>
        <w:t xml:space="preserve">inclut les informations extraites des pages annotées (transcrites en</w:t>
      </w:r>
      <w:r>
        <w:t xml:space="preserve"> </w:t>
      </w:r>
      <w:r>
        <w:t xml:space="preserve">texte).</w:t>
      </w:r>
    </w:p>
    <w:p>
      <w:pPr>
        <w:numPr>
          <w:ilvl w:val="0"/>
          <w:numId w:val="1008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questions ouvertes non répondues</w:t>
      </w:r>
      <w:r>
        <w:t xml:space="preserve"> </w:t>
      </w:r>
      <w:r>
        <w:t xml:space="preserve">peuvent être :</w:t>
      </w:r>
    </w:p>
    <w:p>
      <w:pPr>
        <w:numPr>
          <w:ilvl w:val="1"/>
          <w:numId w:val="1010"/>
        </w:numPr>
        <w:pStyle w:val="Compact"/>
      </w:pPr>
      <w:r>
        <w:t xml:space="preserve">réassignées à un autre expert, ou</w:t>
      </w:r>
    </w:p>
    <w:p>
      <w:pPr>
        <w:numPr>
          <w:ilvl w:val="1"/>
          <w:numId w:val="1010"/>
        </w:numPr>
        <w:pStyle w:val="Compact"/>
      </w:pPr>
      <w:r>
        <w:t xml:space="preserve">répondues directement par l’utilisateur avant publication.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Publication vers la base de connaissances partagée</w:t>
      </w:r>
      <w:r>
        <w:t xml:space="preserve"> </w:t>
      </w:r>
      <w:r>
        <w:t xml:space="preserve">→ ré-indexation</w:t>
      </w:r>
      <w:r>
        <w:t xml:space="preserve"> </w:t>
      </w:r>
      <w:r>
        <w:t xml:space="preserve">immédiate, disponible pour tout autre utilisateur qui chatterait sur le</w:t>
      </w:r>
      <w:r>
        <w:t xml:space="preserve"> </w:t>
      </w:r>
      <w:r>
        <w:t xml:space="preserve">sujet.</w:t>
      </w:r>
    </w:p>
    <w:p>
      <w:pPr>
        <w:pStyle w:val="FirstParagraph"/>
      </w:pPr>
      <w:r>
        <w:t xml:space="preserve">Narratif ROI à associer à l’oral : cas d’un</w:t>
      </w:r>
      <w:r>
        <w:t xml:space="preserve"> </w:t>
      </w:r>
      <w:r>
        <w:rPr>
          <w:bCs/>
          <w:b/>
        </w:rPr>
        <w:t xml:space="preserve">expert qui part à la retraite</w:t>
      </w:r>
      <w:r>
        <w:t xml:space="preserve"> </w:t>
      </w:r>
      <w:r>
        <w:t xml:space="preserve">— capture de sa connaissance non documentée, disponible immédiatement pour un</w:t>
      </w:r>
      <w:r>
        <w:t xml:space="preserve"> </w:t>
      </w:r>
      <w:r>
        <w:t xml:space="preserve">nouvel arrivant/stagiaire</w:t>
      </w:r>
      <w:r>
        <w:t xml:space="preserve"> </w:t>
      </w:r>
      <w:r>
        <w:t xml:space="preserve">“</w:t>
      </w:r>
      <w:r>
        <w:t xml:space="preserve">comme s’il était dans le cerveau de l’expert</w:t>
      </w:r>
      <w:r>
        <w:t xml:space="preserve">”</w:t>
      </w:r>
      <w:r>
        <w:t xml:space="preserve">.</w:t>
      </w:r>
      <w:r>
        <w:t xml:space="preserve"> </w:t>
      </w:r>
      <w:r>
        <w:t xml:space="preserve">Lien direct avec le besoin PIH exprimé sur le service desk (gains</w:t>
      </w:r>
      <w:r>
        <w:t xml:space="preserve"> </w:t>
      </w:r>
      <w:r>
        <w:t xml:space="preserve">onboarding/offboarding).</w:t>
      </w:r>
    </w:p>
    <w:p>
      <w:pPr>
        <w:pStyle w:val="BodyText"/>
      </w:pPr>
      <w:r>
        <w:t xml:space="preserve">Suggestion de montage : mixer la démo vocale avec ce cas d’usage plutôt que</w:t>
      </w:r>
      <w:r>
        <w:t xml:space="preserve"> </w:t>
      </w:r>
      <w:r>
        <w:t xml:space="preserve">de la présenter isolée (</w:t>
      </w:r>
      <w:r>
        <w:t xml:space="preserve">“</w:t>
      </w:r>
      <w:r>
        <w:t xml:space="preserve">je peux parler</w:t>
      </w:r>
      <w:r>
        <w:t xml:space="preserve">”</w:t>
      </w:r>
      <w:r>
        <w:t xml:space="preserve"> </w:t>
      </w:r>
      <w:r>
        <w:t xml:space="preserve">sans contexte).</w:t>
      </w:r>
    </w:p>
    <w:bookmarkEnd w:id="29"/>
    <w:bookmarkStart w:id="30" w:name="X4227d78b220843c09b2e9f8e31978dfb0770b8b"/>
    <w:p>
      <w:pPr>
        <w:pStyle w:val="Heading3"/>
      </w:pPr>
      <w:r>
        <w:t xml:space="preserve">3.5 Étape 4 — Construction d’agents / Flow Builder (effet wow #4)</w:t>
      </w:r>
    </w:p>
    <w:p>
      <w:pPr>
        <w:pStyle w:val="FirstParagraph"/>
      </w:pPr>
      <w:r>
        <w:t xml:space="preserve">Contexte cadrage PIH : dans l’appel d’offres, un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un use case</w:t>
      </w:r>
      <w:r>
        <w:t xml:space="preserve"> </w:t>
      </w:r>
      <w:r>
        <w:t xml:space="preserve">(≈ 400 use cases attendus côté PIH ↔ appelés</w:t>
      </w:r>
      <w:r>
        <w:t xml:space="preserve"> </w:t>
      </w:r>
      <w:r>
        <w:t xml:space="preserve">“</w:t>
      </w:r>
      <w:r>
        <w:t xml:space="preserve">systèmes</w:t>
      </w:r>
      <w:r>
        <w:t xml:space="preserve">”</w:t>
      </w:r>
      <w:r>
        <w:t xml:space="preserve"> </w:t>
      </w:r>
      <w:r>
        <w:t xml:space="preserve">côté Agentium). Un</w:t>
      </w:r>
      <w:r>
        <w:t xml:space="preserve"> </w:t>
      </w:r>
      <w:r>
        <w:t xml:space="preserve">système/use case peut être composé de plusieurs agents/briques atomiques.</w:t>
      </w:r>
    </w:p>
    <w:p>
      <w:pPr>
        <w:pStyle w:val="BodyText"/>
      </w:pPr>
      <w:r>
        <w:t xml:space="preserve">Points à démontrer 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Connexion à une source moins conventionnelle</w:t>
      </w:r>
      <w:r>
        <w:t xml:space="preserve"> </w:t>
      </w:r>
      <w:r>
        <w:t xml:space="preserve">que du SQL classique</w:t>
      </w:r>
      <w:r>
        <w:t xml:space="preserve"> </w:t>
      </w:r>
      <w:r>
        <w:t xml:space="preserve">(ex. SAP / SAP HANA — connecteur en cours de livraison, cible mardi 21).</w:t>
      </w:r>
    </w:p>
    <w:p>
      <w:pPr>
        <w:numPr>
          <w:ilvl w:val="0"/>
          <w:numId w:val="1011"/>
        </w:numPr>
        <w:pStyle w:val="Compact"/>
      </w:pPr>
      <w:r>
        <w:t xml:space="preserve">Montrer un</w:t>
      </w:r>
      <w:r>
        <w:t xml:space="preserve"> </w:t>
      </w:r>
      <w:r>
        <w:rPr>
          <w:bCs/>
          <w:b/>
        </w:rPr>
        <w:t xml:space="preserve">flow réellement complexe</w:t>
      </w:r>
      <w:r>
        <w:t xml:space="preserve"> </w:t>
      </w:r>
      <w:r>
        <w:t xml:space="preserve">(</w:t>
      </w:r>
      <w:r>
        <w:t xml:space="preserve">“</w:t>
      </w:r>
      <w:r>
        <w:t xml:space="preserve">spaghetti</w:t>
      </w:r>
      <w:r>
        <w:t xml:space="preserve">”</w:t>
      </w:r>
      <w:r>
        <w:t xml:space="preserve">), pas un pipeline</w:t>
      </w:r>
      <w:r>
        <w:t xml:space="preserve"> </w:t>
      </w:r>
      <w:r>
        <w:t xml:space="preserve">linéaire à 3 boîtes — pour prouver la</w:t>
      </w:r>
      <w:r>
        <w:t xml:space="preserve"> </w:t>
      </w:r>
      <w:r>
        <w:rPr>
          <w:bCs/>
          <w:b/>
        </w:rPr>
        <w:t xml:space="preserve">résistance au monde réel</w:t>
      </w:r>
      <w:r>
        <w:t xml:space="preserve">, qui</w:t>
      </w:r>
      <w:r>
        <w:t xml:space="preserve"> </w:t>
      </w:r>
      <w:r>
        <w:t xml:space="preserve">n’est jamais linéaire.</w:t>
      </w:r>
    </w:p>
    <w:p>
      <w:pPr>
        <w:numPr>
          <w:ilvl w:val="1"/>
          <w:numId w:val="1012"/>
        </w:numPr>
        <w:pStyle w:val="Compact"/>
      </w:pPr>
      <w:r>
        <w:t xml:space="preserve">Exemple de structure : le flow représente en réalité</w:t>
      </w:r>
      <w:r>
        <w:t xml:space="preserve"> </w:t>
      </w:r>
      <w:r>
        <w:rPr>
          <w:bCs/>
          <w:b/>
        </w:rPr>
        <w:t xml:space="preserve">le</w:t>
      </w:r>
      <w:r>
        <w:rPr>
          <w:bCs/>
          <w:b/>
        </w:rPr>
        <w:t xml:space="preserve"> </w:t>
      </w:r>
      <w:r>
        <w:rPr>
          <w:bCs/>
          <w:b/>
        </w:rPr>
        <w:t xml:space="preserve">comportement du chat</w:t>
      </w:r>
      <w:r>
        <w:t xml:space="preserve"> </w:t>
      </w:r>
      <w:r>
        <w:t xml:space="preserve">avec plusieurs branches selon le type de requête</w:t>
      </w:r>
      <w:r>
        <w:t xml:space="preserve"> </w:t>
      </w:r>
      <w:r>
        <w:t xml:space="preserve">(ex. question triviale → réponse directe courte-circuitée, sans lancer</w:t>
      </w:r>
      <w:r>
        <w:t xml:space="preserve"> </w:t>
      </w:r>
      <w:r>
        <w:t xml:space="preserve">une recherche profonde inutile ; requête complexe → recherche approfondie</w:t>
      </w:r>
      <w:r>
        <w:t xml:space="preserve"> </w:t>
      </w:r>
      <w:r>
        <w:t xml:space="preserve">avec connecteurs SAP/documentaire/images, etc.).</w:t>
      </w:r>
    </w:p>
    <w:p>
      <w:pPr>
        <w:numPr>
          <w:ilvl w:val="1"/>
          <w:numId w:val="1012"/>
        </w:numPr>
        <w:pStyle w:val="Compact"/>
      </w:pPr>
      <w:r>
        <w:t xml:space="preserve">Message clé : pour l’utilisateur final, tout ça reste</w:t>
      </w:r>
      <w:r>
        <w:t xml:space="preserve"> </w:t>
      </w:r>
      <w:r>
        <w:rPr>
          <w:bCs/>
          <w:b/>
        </w:rPr>
        <w:t xml:space="preserve">un simple chat</w:t>
      </w:r>
      <w:r>
        <w:t xml:space="preserve"> </w:t>
      </w:r>
      <w:r>
        <w:t xml:space="preserve">— mais la démo révèle la complexité orchestrée en dessous,</w:t>
      </w:r>
      <w:r>
        <w:t xml:space="preserve"> </w:t>
      </w:r>
      <w:r>
        <w:t xml:space="preserve">“</w:t>
      </w:r>
      <w:r>
        <w:t xml:space="preserve">factorisée</w:t>
      </w:r>
      <w:r>
        <w:t xml:space="preserve">”</w:t>
      </w:r>
      <w:r>
        <w:t xml:space="preserve"> </w:t>
      </w:r>
      <w:r>
        <w:t xml:space="preserve">par la plateforme.</w:t>
      </w:r>
    </w:p>
    <w:p>
      <w:pPr>
        <w:numPr>
          <w:ilvl w:val="0"/>
          <w:numId w:val="1011"/>
        </w:numPr>
        <w:pStyle w:val="Compact"/>
      </w:pPr>
      <w:r>
        <w:t xml:space="preserve">Montrer les capacités de gouvernance/observabilité du flow 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auto-évaluation</w:t>
      </w:r>
      <w:r>
        <w:t xml:space="preserve"> </w:t>
      </w:r>
      <w:r>
        <w:t xml:space="preserve">(prompts d’évaluation, guides de confiance…),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(ex. v18 vs v13,</w:t>
      </w:r>
      <w:r>
        <w:t xml:space="preserve"> </w:t>
      </w:r>
      <w:r>
        <w:rPr>
          <w:bCs/>
          <w:b/>
        </w:rPr>
        <w:t xml:space="preserve">rollback</w:t>
      </w:r>
      <w:r>
        <w:t xml:space="preserve">,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d’une version</w:t>
      </w:r>
      <w:r>
        <w:t xml:space="preserve"> </w:t>
      </w:r>
      <w:r>
        <w:t xml:space="preserve">antérieure) → répond directement aux besoins PIH de replay/monitoring/</w:t>
      </w:r>
      <w:r>
        <w:t xml:space="preserve"> </w:t>
      </w:r>
      <w:r>
        <w:t xml:space="preserve">maintenance.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Skills packagées et réutilisables</w:t>
      </w:r>
      <w:r>
        <w:t xml:space="preserve"> </w:t>
      </w:r>
      <w:r>
        <w:t xml:space="preserve">entre workflows (ex. une skill</w:t>
      </w:r>
      <w:r>
        <w:t xml:space="preserve"> </w:t>
      </w:r>
      <w:r>
        <w:t xml:space="preserve">SharePoint déjà configurée est réutilisable dans un autre système sans</w:t>
      </w:r>
      <w:r>
        <w:t xml:space="preserve"> </w:t>
      </w:r>
      <w:r>
        <w:t xml:space="preserve">refaire le travail).</w:t>
      </w:r>
    </w:p>
    <w:p>
      <w:pPr>
        <w:pStyle w:val="FirstParagraph"/>
      </w:pPr>
      <w:r>
        <w:t xml:space="preserve">Message de conception à faire passer : privilégier des</w:t>
      </w:r>
      <w:r>
        <w:t xml:space="preserve"> </w:t>
      </w:r>
      <w:r>
        <w:rPr>
          <w:bCs/>
          <w:b/>
        </w:rPr>
        <w:t xml:space="preserve">agents/skills</w:t>
      </w:r>
      <w:r>
        <w:rPr>
          <w:bCs/>
          <w:b/>
        </w:rPr>
        <w:t xml:space="preserve"> </w:t>
      </w:r>
      <w:r>
        <w:rPr>
          <w:bCs/>
          <w:b/>
        </w:rPr>
        <w:t xml:space="preserve">atomiques et factorisés</w:t>
      </w:r>
      <w:r>
        <w:t xml:space="preserve"> </w:t>
      </w:r>
      <w:r>
        <w:t xml:space="preserve">plutôt qu’un agent monolithique qui fait tout — et</w:t>
      </w:r>
      <w:r>
        <w:t xml:space="preserve"> </w:t>
      </w:r>
      <w:r>
        <w:t xml:space="preserve">souligner la synergie avec le process delivery (design cards / templates de</w:t>
      </w:r>
      <w:r>
        <w:t xml:space="preserve"> </w:t>
      </w:r>
      <w:r>
        <w:t xml:space="preserve">prise de besoin côté centre d’excellence, qui pré-dessinent les skills avec</w:t>
      </w:r>
      <w:r>
        <w:t xml:space="preserve"> </w:t>
      </w:r>
      <w:r>
        <w:t xml:space="preserve">le client avant l’implémentation).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e5ddbdb8a8c625689262686e38b9937613cbdd"/>
    <w:p>
      <w:pPr>
        <w:pStyle w:val="Heading2"/>
      </w:pPr>
      <w:r>
        <w:t xml:space="preserve">4. Effets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— classement pour priorisation production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Capture de connaissance vocale</w:t>
      </w:r>
      <w:r>
        <w:t xml:space="preserve"> </w:t>
      </w:r>
      <w:r>
        <w:t xml:space="preserve">(§3.4) — jugé le plus fort en meeting,</w:t>
      </w:r>
      <w:r>
        <w:t xml:space="preserve"> </w:t>
      </w:r>
      <w:r>
        <w:t xml:space="preserve">car il illustre un vrai mérite produit (orchestration), pas juste un</w:t>
      </w:r>
      <w:r>
        <w:t xml:space="preserve"> </w:t>
      </w:r>
      <w:r>
        <w:t xml:space="preserve">modèle tiers.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RAG combinant plusieurs sources hétérogènes</w:t>
      </w:r>
      <w:r>
        <w:t xml:space="preserve"> </w:t>
      </w:r>
      <w:r>
        <w:t xml:space="preserve">(PDF + base non-PDF) dans</w:t>
      </w:r>
      <w:r>
        <w:t xml:space="preserve"> </w:t>
      </w:r>
      <w:r>
        <w:t xml:space="preserve">une même réponse (§3.3).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Création de KPI custom en langage naturel</w:t>
      </w:r>
      <w:r>
        <w:t xml:space="preserve"> </w:t>
      </w:r>
      <w:r>
        <w:t xml:space="preserve">sur l’hyperviseur (§2.3).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Flow complexe non-linéaire + versioning/rollback</w:t>
      </w:r>
      <w:r>
        <w:t xml:space="preserve"> </w:t>
      </w:r>
      <w:r>
        <w:t xml:space="preserve">(§3.5).</w:t>
      </w:r>
    </w:p>
    <w:p>
      <w:r>
        <w:pict>
          <v:rect style="width:0;height:1.5pt" o:hralign="center" o:hrstd="t" o:hr="t"/>
        </w:pict>
      </w:r>
    </w:p>
    <w:bookmarkEnd w:id="32"/>
    <w:bookmarkStart w:id="33" w:name="X1bd9f8870c69bc9836f63999994379faf30af66"/>
    <w:p>
      <w:pPr>
        <w:pStyle w:val="Heading2"/>
      </w:pPr>
      <w:r>
        <w:t xml:space="preserve">5. Portée de la démo (ce qui est explicitement hors scope pour cette vidéo)</w:t>
      </w:r>
    </w:p>
    <w:p>
      <w:pPr>
        <w:numPr>
          <w:ilvl w:val="0"/>
          <w:numId w:val="1015"/>
        </w:numPr>
        <w:pStyle w:val="Compact"/>
      </w:pPr>
      <w:r>
        <w:t xml:space="preserve">Le meeting acte que le scope décrit ci-dessus est</w:t>
      </w:r>
      <w:r>
        <w:t xml:space="preserve"> </w:t>
      </w:r>
      <w:r>
        <w:rPr>
          <w:bCs/>
          <w:b/>
        </w:rPr>
        <w:t xml:space="preserve">suffisant pour une</w:t>
      </w:r>
      <w:r>
        <w:rPr>
          <w:bCs/>
          <w:b/>
        </w:rPr>
        <w:t xml:space="preserve"> </w:t>
      </w:r>
      <w:r>
        <w:rPr>
          <w:bCs/>
          <w:b/>
        </w:rPr>
        <w:t xml:space="preserve">première vidéo à partager</w:t>
      </w:r>
      <w:r>
        <w:t xml:space="preserve">. Le reste (approfondissements, nouveaux</w:t>
      </w:r>
      <w:r>
        <w:t xml:space="preserve"> </w:t>
      </w:r>
      <w:r>
        <w:t xml:space="preserve">connecteurs, cas d’usage additionnels) sera traité lors de futurs meetings,</w:t>
      </w:r>
      <w:r>
        <w:t xml:space="preserve"> </w:t>
      </w:r>
      <w:r>
        <w:t xml:space="preserve">une fois le scope, la discovery et le budget calés avec le prospect/client</w:t>
      </w:r>
      <w:r>
        <w:t xml:space="preserve"> </w:t>
      </w:r>
      <w:r>
        <w:t xml:space="preserve">concerné.</w:t>
      </w:r>
    </w:p>
    <w:p>
      <w:pPr>
        <w:numPr>
          <w:ilvl w:val="0"/>
          <w:numId w:val="1015"/>
        </w:numPr>
        <w:pStyle w:val="Compact"/>
      </w:pPr>
      <w:r>
        <w:t xml:space="preserve">Les écrans</w:t>
      </w:r>
      <w:r>
        <w:t xml:space="preserve"> </w:t>
      </w:r>
      <w:r>
        <w:t xml:space="preserve">“</w:t>
      </w:r>
      <w:r>
        <w:t xml:space="preserve">liste au Père Noël</w:t>
      </w:r>
      <w:r>
        <w:t xml:space="preserve">”</w:t>
      </w:r>
      <w:r>
        <w:t xml:space="preserve"> </w:t>
      </w:r>
      <w:r>
        <w:t xml:space="preserve">(predictions par KPI, indices de confiance,</w:t>
      </w:r>
      <w:r>
        <w:t xml:space="preserve"> </w:t>
      </w:r>
      <w:r>
        <w:t xml:space="preserve">etc.) sont à confirmer techniquement avant de les scripter fermement.</w:t>
      </w:r>
    </w:p>
    <w:p>
      <w:r>
        <w:pict>
          <v:rect style="width:0;height:1.5pt" o:hralign="center" o:hrstd="t" o:hr="t"/>
        </w:pict>
      </w:r>
    </w:p>
    <w:bookmarkEnd w:id="33"/>
    <w:bookmarkStart w:id="34" w:name="actions"/>
    <w:p>
      <w:pPr>
        <w:pStyle w:val="Heading2"/>
      </w:pPr>
      <w:r>
        <w:t xml:space="preserve">6. Actions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Livrer le connecteur SAP HANA (ou équivalent)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Mardi 21 (semaine du meeting)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Trier la liste</w:t>
            </w:r>
            <w:r>
              <w:t xml:space="preserve"> </w:t>
            </w:r>
            <w:r>
              <w:t xml:space="preserve">“</w:t>
            </w:r>
            <w:r>
              <w:t xml:space="preserve">Père Noël</w:t>
            </w:r>
            <w:r>
              <w:t xml:space="preserve">”</w:t>
            </w:r>
            <w:r>
              <w:t xml:space="preserve"> </w:t>
            </w:r>
            <w:r>
              <w:t xml:space="preserve">hyperviseur avec la dev (ce qui existe vs. à construire pour la démo)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script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Construire/valider l’exemple combinant PDF + source non-PDF (incidents/pannes) pour le RAG multi-sources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tournage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Anonymiser/généraliser les exemples Andritz utilisés dans la démo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tournage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Arranger un flow</w:t>
            </w:r>
            <w:r>
              <w:t xml:space="preserve"> </w:t>
            </w:r>
            <w:r>
              <w:t xml:space="preserve">“</w:t>
            </w:r>
            <w:r>
              <w:t xml:space="preserve">spaghetti</w:t>
            </w:r>
            <w:r>
              <w:t xml:space="preserve">”</w:t>
            </w:r>
            <w:r>
              <w:t xml:space="preserve"> </w:t>
            </w:r>
            <w:r>
              <w:t xml:space="preserve">représentatif pour l’écran Flow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tournage §3.5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Rédiger le script de voix off/guidage à chaque transition d’écran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montage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f77fd73d285b1a398e3b6cc94a0be707674b0b8"/>
    <w:p>
      <w:pPr>
        <w:pStyle w:val="Heading2"/>
      </w:pPr>
      <w:r>
        <w:t xml:space="preserve">7. Sujet annexe — Prospect Qatar (UDC, quartier La Perle)</w:t>
      </w:r>
    </w:p>
    <w:p>
      <w:pPr>
        <w:numPr>
          <w:ilvl w:val="0"/>
          <w:numId w:val="1016"/>
        </w:numPr>
        <w:pStyle w:val="Compact"/>
      </w:pPr>
      <w:r>
        <w:t xml:space="preserve">Contact facilitateur : le directeur innovation d’un opérateur télécom déjà</w:t>
      </w:r>
      <w:r>
        <w:t xml:space="preserve"> </w:t>
      </w:r>
      <w:r>
        <w:t xml:space="preserve">rencontré (meeting antérieur), positionné non pas pour vendre à l’opérateur</w:t>
      </w:r>
      <w:r>
        <w:t xml:space="preserve"> </w:t>
      </w:r>
      <w:r>
        <w:t xml:space="preserve">mais pour introduire auprès de ses propres clients — dont</w:t>
      </w:r>
      <w:r>
        <w:t xml:space="preserve"> </w:t>
      </w:r>
      <w:r>
        <w:rPr>
          <w:bCs/>
          <w:b/>
        </w:rPr>
        <w:t xml:space="preserve">UDC</w:t>
      </w:r>
      <w:r>
        <w:t xml:space="preserve"> </w:t>
      </w:r>
      <w:r>
        <w:t xml:space="preserve">(en charge</w:t>
      </w:r>
      <w:r>
        <w:t xml:space="preserve"> </w:t>
      </w:r>
      <w:r>
        <w:t xml:space="preserve">du quartier La Perle) est une des pistes identifiées.</w:t>
      </w:r>
    </w:p>
    <w:p>
      <w:pPr>
        <w:numPr>
          <w:ilvl w:val="0"/>
          <w:numId w:val="1016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pré-meeting/</w:t>
      </w:r>
      <w:r>
        <w:rPr>
          <w:bCs/>
          <w:b/>
        </w:rPr>
        <w:t xml:space="preserve">“</w:t>
      </w:r>
      <w:r>
        <w:rPr>
          <w:bCs/>
          <w:b/>
        </w:rPr>
        <w:t xml:space="preserve">répétition</w:t>
      </w:r>
      <w:r>
        <w:rPr>
          <w:bCs/>
          <w:b/>
        </w:rPr>
        <w:t xml:space="preserve">”</w:t>
      </w:r>
      <w:r>
        <w:t xml:space="preserve"> </w:t>
      </w:r>
      <w:r>
        <w:t xml:space="preserve">est proposé le lendemain avec ce</w:t>
      </w:r>
      <w:r>
        <w:t xml:space="preserve"> </w:t>
      </w:r>
      <w:r>
        <w:t xml:space="preserve">facilitateur : objectif = recueillir son feedback sur le pitch avant le</w:t>
      </w:r>
      <w:r>
        <w:t xml:space="preserve"> </w:t>
      </w:r>
      <w:r>
        <w:t xml:space="preserve">vrai rendez-vous avec l’interlocuteur UDC, et éventuellement sonder des</w:t>
      </w:r>
      <w:r>
        <w:t xml:space="preserve"> </w:t>
      </w:r>
      <w:r>
        <w:t xml:space="preserve">centres d’intérêt spécifiques (ex. cas d’usage parking, etc.).</w:t>
      </w:r>
    </w:p>
    <w:p>
      <w:pPr>
        <w:numPr>
          <w:ilvl w:val="0"/>
          <w:numId w:val="1016"/>
        </w:numPr>
        <w:pStyle w:val="Compact"/>
      </w:pPr>
      <w:r>
        <w:t xml:space="preserve">Format retenu : laisser le facilitateur exprimer d’abord les besoins/le</w:t>
      </w:r>
      <w:r>
        <w:t xml:space="preserve"> </w:t>
      </w:r>
      <w:r>
        <w:t xml:space="preserve">contexte client, sans empêcher de montrer en complément des aspects de la</w:t>
      </w:r>
      <w:r>
        <w:t xml:space="preserve"> </w:t>
      </w:r>
      <w:r>
        <w:t xml:space="preserve">plateforme pertinents.</w:t>
      </w:r>
    </w:p>
    <w:p>
      <w:pPr>
        <w:numPr>
          <w:ilvl w:val="0"/>
          <w:numId w:val="1016"/>
        </w:numPr>
        <w:pStyle w:val="Compact"/>
      </w:pPr>
      <w:r>
        <w:t xml:space="preserve">Point de vigilance stratégique : discussions en cours avec</w:t>
      </w:r>
      <w:r>
        <w:t xml:space="preserve"> </w:t>
      </w:r>
      <w:r>
        <w:rPr>
          <w:bCs/>
          <w:b/>
        </w:rPr>
        <w:t xml:space="preserve">PIH</w:t>
      </w:r>
      <w:r>
        <w:t xml:space="preserve"> </w:t>
      </w:r>
      <w:r>
        <w:t xml:space="preserve">sur un</w:t>
      </w:r>
      <w:r>
        <w:t xml:space="preserve"> </w:t>
      </w:r>
      <w:r>
        <w:t xml:space="preserve">contrat global/exclusivité — rester prudent avec UDC pour ne pas créer de</w:t>
      </w:r>
      <w:r>
        <w:t xml:space="preserve"> </w:t>
      </w:r>
      <w:r>
        <w:t xml:space="preserve">contradiction tant que rien n’est signé avec PIH.</w:t>
      </w:r>
    </w:p>
    <w:p>
      <w:pPr>
        <w:numPr>
          <w:ilvl w:val="0"/>
          <w:numId w:val="1016"/>
        </w:numPr>
        <w:pStyle w:val="Compact"/>
      </w:pPr>
      <w:r>
        <w:t xml:space="preserve">Créneau proposé au facilitateur :</w:t>
      </w:r>
      <w:r>
        <w:t xml:space="preserve"> </w:t>
      </w:r>
      <w:r>
        <w:rPr>
          <w:bCs/>
          <w:b/>
        </w:rPr>
        <w:t xml:space="preserve">13h ou 14h</w:t>
      </w:r>
      <w:r>
        <w:t xml:space="preserve"> </w:t>
      </w:r>
      <w:r>
        <w:t xml:space="preserve">(contrainte Andritz/SGP le</w:t>
      </w:r>
      <w:r>
        <w:t xml:space="preserve"> </w:t>
      </w:r>
      <w:r>
        <w:t xml:space="preserve">matin côté équipe ; dispo après la pause déjeuner).</w:t>
      </w:r>
    </w:p>
    <w:p>
      <w:pPr>
        <w:numPr>
          <w:ilvl w:val="0"/>
          <w:numId w:val="1016"/>
        </w:numPr>
        <w:pStyle w:val="Compact"/>
      </w:pPr>
      <w:r>
        <w:t xml:space="preserve">Rendez-vous confirmé séparément à 14h avec un autre contact (Zach /</w:t>
      </w:r>
      <w:r>
        <w:t xml:space="preserve"> </w:t>
      </w:r>
      <w:r>
        <w:t xml:space="preserve">propale) — sujet distinct, à ne pas confondre avec le point UDC.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— Cadrage vidéo démo Agentium (scénario effet wow)</dc:title>
  <dc:creator/>
  <cp:keywords/>
  <dcterms:created xsi:type="dcterms:W3CDTF">2026-07-15T13:43:58Z</dcterms:created>
  <dcterms:modified xsi:type="dcterms:W3CDTF">2026-07-15T13:43:58Z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