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spacing w:before="0" w:after="160" w:line="240" w:lineRule="auto"/>
      </w:pPr>
      <w:r>
        <w:rPr>
          <w:rFonts w:ascii="Aptos" w:hAnsi="Aptos" w:cs="Aptos" w:eastAsia="Aptos"/>
          <w:b/>
          <w:color w:val="000000"/>
          <w:sz w:val="50"/>
        </w:rPr>
        <w:t>Nawa Limited Access Release</w:t>
      </w:r>
    </w:p>
    <w:p>
      <w:pPr>
        <w:spacing w:before="0" w:after="360" w:line="269" w:lineRule="auto"/>
      </w:pPr>
      <w:r>
        <w:rPr>
          <w:rFonts w:ascii="Aptos" w:hAnsi="Aptos" w:cs="Aptos" w:eastAsia="Aptos"/>
          <w:b/>
          <w:color w:val="17365D"/>
          <w:sz w:val="28"/>
        </w:rPr>
        <w:t>Client assessment baseline available 7 October 2026</w:t>
      </w:r>
    </w:p>
    <w:p>
      <w:pPr>
        <w:spacing w:before="0" w:after="160" w:line="276" w:lineRule="auto"/>
      </w:pPr>
      <w:r>
        <w:rPr>
          <w:rFonts w:ascii="Aptos" w:hAnsi="Aptos" w:cs="Aptos" w:eastAsia="Aptos"/>
          <w:b w:val="0"/>
          <w:color w:val="000000"/>
          <w:sz w:val="22"/>
        </w:rPr>
        <w:t>Nawa will be available for a limited client assessment from 7 October 2026. The review will use a controlled, versioned environment so that the intended end users — data scientists and AI engineers — can operate Nawa unattended across the declared functional envelope. This approach gives both parties a stable and reproducible basis for technical review while protecting production systems, proprietary assets and unrelated environments.</w:t>
      </w:r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Purpose of the controlled release</w:t>
      </w:r>
    </w:p>
    <w:p>
      <w:pPr>
        <w:spacing w:before="0" w:after="160" w:line="276" w:lineRule="auto"/>
      </w:pPr>
      <w:r>
        <w:rPr>
          <w:rFonts w:ascii="Aptos" w:hAnsi="Aptos" w:cs="Aptos" w:eastAsia="Aptos"/>
          <w:b w:val="0"/>
          <w:color w:val="000000"/>
          <w:sz w:val="21"/>
        </w:rPr>
        <w:t>The objective is not a single representative agent and not a guided replay of one System. The 7 October baseline is reached when a data scientist or AI engineer can use Nawa in complete autonomy across the functional scope included in the release: Work, Create / Studio, Systems, Flows, Runs, Decisions, Data &amp; Models, evaluation, identity and audit.</w:t>
      </w:r>
    </w:p>
    <w:p>
      <w:pPr>
        <w:spacing w:before="0" w:after="160" w:line="276" w:lineRule="auto"/>
      </w:pPr>
      <w:r>
        <w:rPr>
          <w:rFonts w:ascii="Aptos" w:hAnsi="Aptos" w:cs="Aptos" w:eastAsia="Aptos"/>
          <w:b w:val="0"/>
          <w:color w:val="000000"/>
          <w:sz w:val="21"/>
        </w:rPr>
        <w:t>The release brings those existing Nawa capabilities into one consistent configuration. It does not expand the agreed functional scope. It does not open Marketplace listing, cluster portability or factory-scale rollout.</w:t>
      </w:r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Why access before 7 October is not relevant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7360"/>
      </w:tblGrid>
      <w:tr>
        <w:trPr>
          <w:tblHeader w:val="true"/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Assessment impact</w:t>
            </w:r>
          </w:p>
        </w:tc>
      </w:tr>
      <w:tr>
        <w:trPr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Moving product baseline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Nawa remains within its normal consolidation cycle. Observations made against the current environment may not correspond to the released configuration.</w:t>
            </w:r>
          </w:p>
        </w:tc>
      </w:tr>
      <w:tr>
        <w:trPr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Incomplete autonomy context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End users would still need a guided session. Findings would describe a presenter-led path, not unattended use of the product.</w:t>
            </w:r>
          </w:p>
        </w:tc>
      </w:tr>
      <w:tr>
        <w:trPr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Incomplete product consistency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 capability that is not yet consistently available across Nawa is not yet part of the assessment baseline, even if a single example exists.</w:t>
            </w:r>
          </w:p>
        </w:tc>
      </w:tr>
      <w:tr>
        <w:trPr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Limited reproducibility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Changes made during consolidation could prevent either party from reproducing an observation raised against an earlier build.</w:t>
            </w:r>
          </w:p>
        </w:tc>
      </w:tr>
      <w:tr>
        <w:trPr>
          <w:cantSplit/>
        </w:trPr>
        <w:tc>
          <w:tcPr>
            <w:tcW w:type="dxa" w:w="2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Disproportionate review effort</w:t>
            </w:r>
          </w:p>
        </w:tc>
        <w:tc>
          <w:tcPr>
            <w:tcW w:type="dxa" w:w="73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Reviewing an intermediate configuration would require the client to reassess the same areas after the controlled release is established.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200" w:line="276" w:lineRule="auto"/>
      </w:pPr>
      <w:r>
        <w:rPr>
          <w:rFonts w:ascii="Aptos" w:hAnsi="Aptos" w:cs="Aptos" w:eastAsia="Aptos"/>
          <w:b/>
          <w:color w:val="17365D"/>
          <w:sz w:val="20"/>
        </w:rPr>
        <w:t>The proposed timing does not reduce the client’s ability to perform due diligence. It ensures that the review applies to the version intended to serve as the assessment baseline.</w:t>
      </w:r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Nawa product roadmap</w:t>
      </w:r>
    </w:p>
    <w:p>
      <w:pPr>
        <w:spacing w:before="0" w:after="160" w:line="276" w:lineRule="auto"/>
        <w:keepNext/>
      </w:pPr>
      <w:r>
        <w:rPr>
          <w:rFonts w:ascii="Aptos" w:hAnsi="Aptos" w:cs="Aptos" w:eastAsia="Aptos"/>
          <w:b w:val="0"/>
          <w:color w:val="000000"/>
          <w:sz w:val="21"/>
        </w:rPr>
        <w:t>The roadmap below is the Nawa product plan for 16 September–7 October 2026. Each row is a platform capability. It is not scoped to one System.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960"/>
      </w:tblGrid>
      <w:tr>
        <w:trPr>
          <w:tblHeader w:val="true"/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Nawa capability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What the release makes operable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Work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Published applications are launched from Work. The operator does not need a prepared bookmark.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Create / Studio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 published System can be bound, released and deployed through the same authoring path.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System / Flow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published Flow is the executable contract. Drafts are not selectable; versions do not change in silence.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Run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Execution is a canonical Run with recoverable evidence, not a chat transcript.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Accept / reject is an explicit human act. It records an opinion; it does not by itself apply a write.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Skills, connectors and patterns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governed catalogue is the one presented in the environment. Sealed writes stay sealed.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Model routing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Routing and fallback are workspace policy, applied to every System in the release.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Data &amp; Models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Dataset → model version → evaluation → published Skill is a product loop, not a seeded example only.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Evaluation and observability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Evaluation and prompt-regression evidence refer to the same released configuration as the Run.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Identity, mandates and approvals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Identity, permitted actions and the approval path are the same contracts on every System in the release.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Audit and operational telemetry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Execution events, traces and operating signals belong to the Run record.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Impact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Displayed measures are measured, declared or missing. Missing is not shown as zero. Unattested financial totals are not the baseline.</w:t>
            </w:r>
          </w:p>
        </w:tc>
      </w:tr>
      <w:tr>
        <w:trPr>
          <w:cantSplit/>
        </w:trPr>
        <w:tc>
          <w:tcPr>
            <w:tcW w:type="dxa" w:w="3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Deployment artefacts</w:t>
            </w:r>
          </w:p>
        </w:tc>
        <w:tc>
          <w:tcPr>
            <w:tcW w:type="dxa" w:w="6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handover pack matches the versioned configuration of the release. Marketplace and cluster packaging are outside this envelope.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200" w:line="276" w:lineRule="auto"/>
      </w:pPr>
      <w:r>
        <w:rPr>
          <w:rFonts w:ascii="Aptos" w:hAnsi="Aptos" w:cs="Aptos" w:eastAsia="Aptos"/>
          <w:b/>
          <w:color w:val="17365D"/>
          <w:sz w:val="21"/>
        </w:rPr>
        <w:t>Release principle: one Nawa product envelope, operable without a guided session.</w:t>
      </w:r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Weekly product sequence — 16 September to 7 October 2026</w:t>
      </w:r>
    </w:p>
    <w:p>
      <w:pPr>
        <w:spacing w:before="0" w:after="160" w:line="276" w:lineRule="auto"/>
        <w:keepNext/>
      </w:pPr>
      <w:r>
        <w:rPr>
          <w:rFonts w:ascii="Aptos" w:hAnsi="Aptos" w:cs="Aptos" w:eastAsia="Aptos"/>
          <w:b w:val="0"/>
          <w:color w:val="000000"/>
          <w:sz w:val="21"/>
        </w:rPr>
        <w:t>The following activities consolidate, standardise and consistently enforce existing Nawa capabilities. They do not introduce additional functional scope.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6760"/>
      </w:tblGrid>
      <w:tr>
        <w:trPr>
          <w:tblHeader w:val="true"/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Nawa product work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16–21 September — Envelope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Freeze the 7 October capability map. Apply the honesty contract (measured / declared / missing / sealed) across Work, Create, Systems, Runs, Decisions and Impact. Align navigation so the same families are discoverable without a guided session.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22–28 September — Operate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Make the operate loop autonomous: launch an application, execute its System, open the Run evidence from the Work result, record a Decision. Align evaluation evidence with that Run. Any System in the release must follow this loop, not only a single prepared example.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29 September–5 October — Build and Data &amp; Models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Make the build loop autonomous: bind a published System in Studio, pass ready-check, cut an immutable Release, deploy Pilot or In-service. Make the data loop autonomous: dataset, model version, evaluation, published Skill, model-routing policy.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6–7 October — Autonomy cut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Unattended dry-run of the declared envelope by data-scientist / AI-engineer profiles. Open limited access only for the families that passed. A family that still requires a guided session is labelled as such or left out of the envelope.</w:t>
            </w:r>
          </w:p>
        </w:tc>
      </w:tr>
    </w:tbl>
    <w:p>
      <w:pPr>
        <w:spacing w:before="0" w:after="0" w:line="240" w:lineRule="auto"/>
      </w:pPr>
      <w:r/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Release consolidation in progress</w:t>
      </w:r>
    </w:p>
    <w:p>
      <w:pPr>
        <w:spacing w:before="0" w:after="160" w:line="276" w:lineRule="auto"/>
        <w:keepNext/>
      </w:pPr>
      <w:r>
        <w:rPr>
          <w:rFonts w:ascii="Aptos" w:hAnsi="Aptos" w:cs="Aptos" w:eastAsia="Aptos"/>
          <w:b w:val="0"/>
          <w:color w:val="000000"/>
          <w:sz w:val="21"/>
        </w:rPr>
        <w:t>The following activities concern consolidation, standardisation and consistent enforcement of existing Nawa capabilities. They are part of establishing the controlled release baseline and do not introduce additional functional scope.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3380"/>
        <w:gridCol w:w="6780"/>
      </w:tblGrid>
      <w:tr>
        <w:trPr>
          <w:tblHeader w:val="true"/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Consolidation area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Release activity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Work and application runtime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Consolidate the launcher and deployment records so published applications are operable from Work.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Create / Studio and System binding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Standardise bind → ready-check → immutable Release → Pilot / In-service.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Orchestration and execution lifecycle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Consolidate the supported build, execution, recovery and completion paths in one release configuration.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Versioning, replay and traceability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Standardise version identification, execution snapshots, replay behaviour and Run lineage.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Connector, skill and pattern catalogues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Curate the approved components presented in the controlled environment.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Model routing policies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Apply the supported routing and fallback policies as workspace policy, not per example.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Data &amp; Models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Align datasets, model versions, champion designation and published Skills with the released configuration.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Evaluation and prompt regression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Align evaluation results and regression evidence with the released configuration.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Identity, mandates and approvals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Standardise the identity, permitted actions and approval path used across the envelope.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Audit and operational telemetry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Consolidate execution events, traces and operating signals for the Systems in the release.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Governance records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Align governance information with the configuration included in the release.</w:t>
            </w:r>
          </w:p>
        </w:tc>
      </w:tr>
      <w:tr>
        <w:trPr>
          <w:cantSplit/>
        </w:trPr>
        <w:tc>
          <w:tcPr>
            <w:tcW w:type="dxa" w:w="33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Deployment and handover artefacts</w:t>
            </w:r>
          </w:p>
        </w:tc>
        <w:tc>
          <w:tcPr>
            <w:tcW w:type="dxa" w:w="67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Harmonise the configuration and handover artefacts associated with the reference environment.</w:t>
            </w:r>
          </w:p>
        </w:tc>
      </w:tr>
    </w:tbl>
    <w:p>
      <w:pPr>
        <w:spacing w:before="0" w:after="0" w:line="240" w:lineRule="auto"/>
      </w:pPr>
      <w:r/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Capabilities presented on 7 October</w:t>
      </w:r>
    </w:p>
    <w:p>
      <w:pPr>
        <w:spacing w:before="0" w:after="160" w:line="276" w:lineRule="auto"/>
        <w:keepNext/>
      </w:pPr>
      <w:r>
        <w:rPr>
          <w:rFonts w:ascii="Aptos" w:hAnsi="Aptos" w:cs="Aptos" w:eastAsia="Aptos"/>
          <w:b w:val="0"/>
          <w:color w:val="000000"/>
          <w:sz w:val="21"/>
        </w:rPr>
        <w:t>The session is designed so that a data scientist or AI engineer can operate the Nawa capabilities together, rather than watching multiple disconnected demonstrations. The walkthrough is not limited to one System.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20"/>
      </w:tblGrid>
      <w:tr>
        <w:trPr>
          <w:tblHeader w:val="true"/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Demonstrated capability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What will be shown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Work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Launch of a published application chosen by the operator, not only a prepared bookmark.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System / Flow configuration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published Flow, approved components and released configuration.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Orchestration and execution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Execution of the System and visibility of its main processing steps as a Run.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Version, snapshot and replay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Identification of the executed version, Run history and controlled replay.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Create / Studio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Binding a published System and the Release / deploy path used for the envelope.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Data &amp; Models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Dataset, model versions, evaluation evidence and a Skill consumed by a System.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Connectors, skills and patterns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governed catalogue components used in the environment, including sealed writes.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Model routing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Application of the configured routing and fallback policy.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Evaluation evidence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Evaluation results and prompt-regression evidence bound to the same configuration.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Identity and approvals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Identity, permitted actions, mandate and the applicable approval point.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Traceability and audit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Execution trace, relevant operational telemetry and audit events.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An explicit human accept / reject, recorded as opinion, not as an automatic apply.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Impact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Measures shown as measured, declared or missing. No unattested financial total.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Deployment and handover</w:t>
            </w:r>
          </w:p>
        </w:tc>
        <w:tc>
          <w:tcPr>
            <w:tcW w:type="dxa" w:w="6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configuration and handover artefacts available for the released envelope.</w:t>
            </w:r>
          </w:p>
        </w:tc>
      </w:tr>
    </w:tbl>
    <w:p>
      <w:pPr>
        <w:spacing w:before="0" w:after="0" w:line="240" w:lineRule="auto"/>
      </w:pPr>
      <w:r/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Outside the 7 October envelope</w:t>
      </w:r>
    </w:p>
    <w:p>
      <w:pPr>
        <w:spacing w:before="0" w:after="160" w:line="276" w:lineRule="auto"/>
        <w:keepNext/>
      </w:pPr>
      <w:r>
        <w:rPr>
          <w:rFonts w:ascii="Aptos" w:hAnsi="Aptos" w:cs="Aptos" w:eastAsia="Aptos"/>
          <w:b w:val="0"/>
          <w:color w:val="000000"/>
          <w:sz w:val="21"/>
        </w:rPr>
        <w:t>These items remain later Nawa product work. They are not part of this limited access release.</w:t>
      </w:r>
    </w:p>
    <w:tbl>
      <w:tblPr>
        <w:tblW w:type="dxa" w:w="1016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6760"/>
      </w:tblGrid>
      <w:tr>
        <w:trPr>
          <w:tblHeader w:val="true"/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Out of envelope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Why it is not in the 7 October baseline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Azure Marketplace listing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 commercial listing is not a condition of unattended product use on the current environment.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Cluster portability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reference environment is the versioned configuration of this release. Cluster packaging is a later product increment.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Unsealed external writes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Connectors that are sealed in the release stay sealed. A write is not implied by a Decision.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Impact as attested financial return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Impact may show measured, declared or missing values. It does not certify economic totals.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Adoption journey for business users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7 October end users are data scientists and AI engineers. Business-user onboarding is a separate acceptance.</w:t>
            </w:r>
          </w:p>
        </w:tc>
      </w:tr>
      <w:tr>
        <w:trPr>
          <w:cantSplit/>
        </w:trPr>
        <w:tc>
          <w:tcPr>
            <w:tcW w:type="dxa" w:w="3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Factory-scale agent count</w:t>
            </w:r>
          </w:p>
        </w:tc>
        <w:tc>
          <w:tcPr>
            <w:tcW w:type="dxa" w:w="6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4F7FA" w:val="clear"/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000000"/>
                <w:sz w:val="18"/>
              </w:rPr>
              <w:t>The release is the product envelope, not a volume of agents.</w:t>
            </w:r>
          </w:p>
        </w:tc>
      </w:tr>
    </w:tbl>
    <w:p>
      <w:pPr>
        <w:spacing w:before="0" w:after="0" w:line="240" w:lineRule="auto"/>
      </w:pPr>
      <w:r/>
    </w:p>
    <w:p>
      <w:pPr>
        <w:pStyle w:val="Heading1"/>
        <w:spacing w:before="180" w:after="100" w:line="269" w:lineRule="auto"/>
        <w:keepNext/>
      </w:pPr>
      <w:r>
        <w:rPr>
          <w:rFonts w:ascii="Aptos" w:hAnsi="Aptos" w:cs="Aptos" w:eastAsia="Aptos"/>
          <w:b/>
          <w:color w:val="000000"/>
          <w:sz w:val="30"/>
        </w:rPr>
        <w:t>Limited environment</w:t>
      </w:r>
    </w:p>
    <w:p>
      <w:pPr>
        <w:pStyle w:val="ListBullet"/>
        <w:spacing w:before="40" w:after="40" w:line="276" w:lineRule="auto"/>
      </w:pPr>
      <w:r>
        <w:rPr>
          <w:rFonts w:ascii="Aptos" w:hAnsi="Aptos" w:cs="Aptos" w:eastAsia="Aptos"/>
          <w:b w:val="0"/>
          <w:color w:val="000000"/>
          <w:sz w:val="20"/>
        </w:rPr>
        <w:t>The declared Nawa product envelope, in an isolated assessment environment.</w:t>
      </w:r>
    </w:p>
    <w:p>
      <w:pPr>
        <w:pStyle w:val="ListBullet"/>
        <w:spacing w:before="40" w:after="40" w:line="276" w:lineRule="auto"/>
      </w:pPr>
      <w:r>
        <w:rPr>
          <w:rFonts w:ascii="Aptos" w:hAnsi="Aptos" w:cs="Aptos" w:eastAsia="Aptos"/>
          <w:b w:val="0"/>
          <w:color w:val="000000"/>
          <w:sz w:val="20"/>
        </w:rPr>
        <w:t>Controlled test scenarios and non-production data.</w:t>
      </w:r>
    </w:p>
    <w:p>
      <w:pPr>
        <w:pStyle w:val="ListBullet"/>
        <w:spacing w:before="40" w:after="40" w:line="276" w:lineRule="auto"/>
      </w:pPr>
      <w:r>
        <w:rPr>
          <w:rFonts w:ascii="Aptos" w:hAnsi="Aptos" w:cs="Aptos" w:eastAsia="Aptos"/>
          <w:b w:val="0"/>
          <w:color w:val="000000"/>
          <w:sz w:val="20"/>
        </w:rPr>
        <w:t>Role-restricted, time-limited access for agreed data-scientist and AI-engineer participants.</w:t>
      </w:r>
    </w:p>
    <w:p>
      <w:pPr>
        <w:pStyle w:val="ListBullet"/>
        <w:spacing w:before="40" w:after="40" w:line="276" w:lineRule="auto"/>
      </w:pPr>
      <w:r>
        <w:rPr>
          <w:rFonts w:ascii="Aptos" w:hAnsi="Aptos" w:cs="Aptos" w:eastAsia="Aptos"/>
          <w:b w:val="0"/>
          <w:color w:val="000000"/>
          <w:sz w:val="20"/>
        </w:rPr>
        <w:t>No access to production systems, unrelated customer environments or unrestricted administrative functions.</w:t>
      </w:r>
    </w:p>
    <w:p>
      <w:pPr>
        <w:pStyle w:val="ListBullet"/>
        <w:spacing w:before="40" w:after="40" w:line="276" w:lineRule="auto"/>
      </w:pPr>
      <w:r>
        <w:rPr>
          <w:rFonts w:ascii="Aptos" w:hAnsi="Aptos" w:cs="Aptos" w:eastAsia="Aptos"/>
          <w:b w:val="0"/>
          <w:color w:val="000000"/>
          <w:sz w:val="20"/>
        </w:rPr>
        <w:t>No penetration testing, source-code review or destructive testing unless separately agreed in writing.</w:t>
      </w:r>
    </w:p>
    <w:p>
      <w:pPr>
        <w:spacing w:before="80" w:after="200" w:line="276" w:lineRule="auto"/>
      </w:pPr>
      <w:r>
        <w:rPr>
          <w:rFonts w:ascii="Aptos" w:hAnsi="Aptos" w:cs="Aptos" w:eastAsia="Aptos"/>
          <w:b/>
          <w:color w:val="17365D"/>
          <w:sz w:val="21"/>
        </w:rPr>
        <w:t>The assessment scope can be agreed before 7 October so that the session addresses the client’s priority questions while remaining anchored to the same controlled release.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66666"/>
        <w:sz w:val="16"/>
      </w:rPr>
      <w:t>Nawa | Limited Access Release | 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 Limited Access Release</dc:title>
  <dc:subject>Nawa limited access release — 7 October 2026</dc:subject>
  <dc:creator>python-docx</dc:creator>
  <cp:keywords/>
  <dc:description>Style-only template. Do not edit as a content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