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736aa78abed4459" /><Relationship Type="http://schemas.openxmlformats.org/package/2006/relationships/metadata/core-properties" Target="/docProps/core.xml" Id="R75b99b187216412e" /><Relationship Type="http://schemas.openxmlformats.org/officeDocument/2006/relationships/extended-properties" Target="/docProps/app.xml" Id="Ra1d6b31cd313431e" /><Relationship Type="http://schemas.openxmlformats.org/officeDocument/2006/relationships/custom-properties" Target="/docProps/custom.xml" Id="R86eb175ac19d406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Heart Attack Risk Prediction System</w:t>
      </w:r>
    </w:p>
    <w:p w14:paraId="00100002" w14:textId="00100003">
      <w:pPr>
        <w:pStyle w:val="Normal"/>
        <w:spacing w:after="120"/>
        <w:jc w:val="center"/>
      </w:pPr>
      <w:r>
        <w:rPr>
          <w:color w:val="555555"/>
          <w:sz w:val="26"/>
        </w:rPr>
        <w:t xml:space="preserve">Project Report — Data Analysis, EDA &amp; Machine Learning Application</w:t>
      </w:r>
    </w:p>
    <w:p w14:paraId="00100004" w14:textId="00100005">
      <w:pPr>
        <w:pStyle w:val="Normal"/>
        <w:spacing w:after="480"/>
        <w:jc w:val="center"/>
      </w:pPr>
      <w:r>
        <w:rPr>
          <w:color w:val="888888"/>
          <w:sz w:val="24"/>
        </w:rPr>
        <w:t xml:space="preserve">Dataset: Heart Attack Risk Dataset (20,000 Records)</w:t>
      </w:r>
    </w:p>
    <w:p w14:paraId="00100006" w14:textId="00100007">
      <w:pPr>
        <w:pStyle w:val="Heading1"/>
        <w:spacing w:after="120"/>
      </w:pPr>
      <w:r>
        <w:rPr>
          <w:b/>
          <w:sz w:val="32"/>
        </w:rPr>
        <w:t xml:space="preserve">Table of Contents</w:t>
      </w:r>
    </w:p>
    <w:p w14:paraId="00100008" w14:textId="00100009">
      <w:pPr>
        <w:pStyle w:val="Normal"/>
        <w:spacing w:after="60"/>
      </w:pPr>
      <w:r>
        <w:rPr>
          <w:sz w:val="22"/>
        </w:rPr>
        <w:t xml:space="preserve">1. Executive Summary</w:t>
      </w:r>
    </w:p>
    <w:p w14:paraId="0010000A" w14:textId="0010000B">
      <w:pPr>
        <w:pStyle w:val="Normal"/>
        <w:spacing w:after="60"/>
      </w:pPr>
      <w:r>
        <w:rPr>
          <w:sz w:val="22"/>
        </w:rPr>
        <w:t xml:space="preserve">2. Dataset Overview</w:t>
      </w:r>
    </w:p>
    <w:p w14:paraId="0010000C" w14:textId="0010000D">
      <w:pPr>
        <w:pStyle w:val="Normal"/>
        <w:spacing w:after="60"/>
      </w:pPr>
      <w:r>
        <w:rPr>
          <w:sz w:val="22"/>
        </w:rPr>
        <w:t xml:space="preserve">3. Data Quality Assessment</w:t>
      </w:r>
    </w:p>
    <w:p w14:paraId="0010000E" w14:textId="0010000F">
      <w:pPr>
        <w:pStyle w:val="Normal"/>
        <w:spacing w:after="60"/>
      </w:pPr>
      <w:r>
        <w:rPr>
          <w:sz w:val="22"/>
        </w:rPr>
        <w:t xml:space="preserve">4. Exploratory Data Analysis (EDA)</w:t>
      </w:r>
    </w:p>
    <w:p w14:paraId="00100010" w14:textId="00100011">
      <w:pPr>
        <w:pStyle w:val="Normal"/>
        <w:spacing w:after="60"/>
      </w:pPr>
      <w:r>
        <w:rPr>
          <w:sz w:val="22"/>
        </w:rPr>
        <w:t xml:space="preserve">5. Feature Engineering &amp; Preprocessing</w:t>
      </w:r>
    </w:p>
    <w:p w14:paraId="00100012" w14:textId="00100013">
      <w:pPr>
        <w:pStyle w:val="Normal"/>
        <w:spacing w:after="60"/>
      </w:pPr>
      <w:r>
        <w:rPr>
          <w:sz w:val="22"/>
        </w:rPr>
        <w:t xml:space="preserve">6. Machine Learning Model</w:t>
      </w:r>
    </w:p>
    <w:p w14:paraId="00100014" w14:textId="00100015">
      <w:pPr>
        <w:pStyle w:val="Normal"/>
        <w:spacing w:after="60"/>
      </w:pPr>
      <w:r>
        <w:rPr>
          <w:sz w:val="22"/>
        </w:rPr>
        <w:t xml:space="preserve">7. Web Application Architecture</w:t>
      </w:r>
    </w:p>
    <w:p w14:paraId="00100016" w14:textId="00100017">
      <w:pPr>
        <w:pStyle w:val="Normal"/>
        <w:spacing w:after="60"/>
      </w:pPr>
      <w:r>
        <w:rPr>
          <w:sz w:val="22"/>
        </w:rPr>
        <w:t xml:space="preserve">8. Key Findings &amp; Insights</w:t>
      </w:r>
    </w:p>
    <w:p w14:paraId="00100018" w14:textId="00100019">
      <w:pPr>
        <w:pStyle w:val="Normal"/>
        <w:spacing w:after="60"/>
      </w:pPr>
      <w:r>
        <w:rPr>
          <w:sz w:val="22"/>
        </w:rPr>
        <w:t xml:space="preserve">9. Conclusions &amp; Recommendations</w:t>
      </w:r>
    </w:p>
    <w:p w14:paraId="0010001A" w14:textId="0010001B">
      <w:pPr>
        <w:pStyle w:val="Normal"/>
        <w:spacing w:after="480"/>
      </w:pPr>
      <w:r>
        <w:rPr>
          <w:sz w:val="22"/>
        </w:rPr>
        <w:t xml:space="preserve">10. References &amp; Technologies Used</w:t>
      </w:r>
    </w:p>
    <w:p w14:paraId="0010001C" w14:textId="0010001D">
      <w:pPr>
        <w:pStyle w:val="Heading1"/>
        <w:spacing w:before="240" w:after="160"/>
      </w:pPr>
      <w:r>
        <w:rPr>
          <w:b/>
          <w:sz w:val="32"/>
        </w:rPr>
        <w:t xml:space="preserve">1. Executive Summary</w:t>
      </w:r>
    </w:p>
    <w:p w14:paraId="0010001E" w14:textId="0010001F">
      <w:pPr>
        <w:pStyle w:val="Normal"/>
        <w:spacing w:after="160"/>
      </w:pPr>
      <w:r>
        <w:rPr>
          <w:sz w:val="22"/>
        </w:rPr>
        <w:t xml:space="preserve">This report presents a comprehensive analysis of the Heart Attack Risk Dataset containing 20,000 patient records with 34 clinical, lifestyle, and demographic features. The project encompasses data quality assessment, exploratory data analysis (EDA), machine learning model development, and a full-stack Python web application for real-time patient risk prediction.</w:t>
      </w:r>
    </w:p>
    <w:p w14:paraId="00100020" w14:textId="00100021">
      <w:pPr>
        <w:pStyle w:val="Normal"/>
        <w:spacing w:after="160"/>
      </w:pPr>
      <w:r>
        <w:rPr>
          <w:sz w:val="22"/>
        </w:rPr>
        <w:t xml:space="preserve">The dataset was found to be clean with zero missing values and zero duplicate rows, making it suitable for direct modelling. A Random Forest classifier was trained achieving strong predictive performance. The project was delivered as an interactive Flask web application with an integrated EDA dashboard, model performance page, and a patient prediction form.</w:t>
      </w:r>
    </w:p>
    <w:p w14:paraId="00100022" w14:textId="00100023">
      <w:pPr>
        <w:pStyle w:val="Heading1"/>
        <w:spacing w:before="240" w:after="160"/>
      </w:pPr>
      <w:r>
        <w:rPr>
          <w:b/>
          <w:sz w:val="32"/>
        </w:rPr>
        <w:t xml:space="preserve">2. Dataset Overview</w:t>
      </w:r>
    </w:p>
    <w:p w14:paraId="00100024" w14:textId="00100025">
      <w:pPr>
        <w:pStyle w:val="Heading2"/>
        <w:spacing w:after="120"/>
      </w:pPr>
      <w:r>
        <w:rPr>
          <w:b/>
          <w:sz w:val="26"/>
        </w:rPr>
        <w:t xml:space="preserve">2.1 Basic Information</w:t>
      </w:r>
    </w:p>
    <w:p w14:paraId="00100026" w14:textId="00100027">
      <w:pPr>
        <w:pStyle w:val="Normal"/>
        <w:spacing w:after="160"/>
      </w:pPr>
      <w:r>
        <w:rPr>
          <w:sz w:val="22"/>
        </w:rPr>
        <w:t xml:space="preserve">The dataset heart_attack_risk_dataset_20k.csv contains comprehensive cardiovascular health records designed for heart attack risk prediction research. Each record represents a unique patient identified by a patient_id and is labelled with a binary heart_attack_risk outcome (0 = No Risk, 1 = Risk).</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8" w14:textId="00100029">
            <w:r>
              <w:t xml:space="preserve">Attribute</w:t>
            </w:r>
          </w:p>
        </w:tc>
        <w:tc>
          <w:p w14:paraId="0010002A" w14:textId="0010002B">
            <w:r>
              <w:t xml:space="preserve">Value</w:t>
            </w:r>
          </w:p>
        </w:tc>
      </w:tr>
      <w:tr>
        <w:trPr/>
        <w:tc>
          <w:p w14:paraId="0010002C" w14:textId="0010002D">
            <w:r>
              <w:t xml:space="preserve">Total Records</w:t>
            </w:r>
          </w:p>
        </w:tc>
        <w:tc>
          <w:p w14:paraId="0010002E" w14:textId="0010002F">
            <w:r>
              <w:t xml:space="preserve">20,000</w:t>
            </w:r>
          </w:p>
        </w:tc>
      </w:tr>
      <w:tr>
        <w:trPr/>
        <w:tc>
          <w:p w14:paraId="00100030" w14:textId="00100031">
            <w:r>
              <w:t xml:space="preserve">Total Features</w:t>
            </w:r>
          </w:p>
        </w:tc>
        <w:tc>
          <w:p w14:paraId="00100032" w14:textId="00100033">
            <w:r>
              <w:t xml:space="preserve">34</w:t>
            </w:r>
          </w:p>
        </w:tc>
      </w:tr>
      <w:tr>
        <w:trPr/>
        <w:tc>
          <w:p w14:paraId="00100034" w14:textId="00100035">
            <w:r>
              <w:t xml:space="preserve">Target Variable</w:t>
            </w:r>
          </w:p>
        </w:tc>
        <w:tc>
          <w:p w14:paraId="00100036" w14:textId="00100037">
            <w:r>
              <w:t xml:space="preserve">heart_attack_risk (binary: 0 / 1)</w:t>
            </w:r>
          </w:p>
        </w:tc>
      </w:tr>
      <w:tr>
        <w:trPr/>
        <w:tc>
          <w:p w14:paraId="00100038" w14:textId="00100039">
            <w:r>
              <w:t xml:space="preserve">File Format</w:t>
            </w:r>
          </w:p>
        </w:tc>
        <w:tc>
          <w:p w14:paraId="0010003A" w14:textId="0010003B">
            <w:r>
              <w:t xml:space="preserve">CSV (heart_attack_risk_dataset_20k.csv)</w:t>
            </w:r>
          </w:p>
        </w:tc>
      </w:tr>
    </w:tbl>
    <w:p w14:paraId="0010003C" w14:textId="0010003D">
      <w:pPr>
        <w:pStyle w:val="Normal"/>
        <w:spacing w:after="240"/>
        <w:jc w:val="center"/>
      </w:pPr>
      <w:r>
        <w:rPr>
          <w:color w:val="666666"/>
          <w:sz w:val="20"/>
        </w:rPr>
        <w:t xml:space="preserve">Table 1: Dataset Basic Statistics</w:t>
      </w:r>
    </w:p>
    <w:p w14:paraId="0010003E" w14:textId="0010003F">
      <w:pPr>
        <w:pStyle w:val="Heading2"/>
        <w:spacing w:after="120"/>
      </w:pPr>
      <w:r>
        <w:rPr>
          <w:b/>
          <w:sz w:val="26"/>
        </w:rPr>
        <w:t xml:space="preserve">2.2 Feature Categories</w:t>
      </w:r>
    </w:p>
    <w:p w14:paraId="00100040" w14:textId="00100041">
      <w:pPr>
        <w:pStyle w:val="Normal"/>
        <w:spacing w:after="120"/>
      </w:pPr>
      <w:r>
        <w:rPr>
          <w:sz w:val="22"/>
        </w:rPr>
        <w:t xml:space="preserve">The 34 features are grouped into six categories:</w:t>
      </w:r>
    </w:p>
    <w:p w14:paraId="00100042" w14:textId="00100043">
      <w:pPr>
        <w:pStyle w:val="Normal"/>
        <w:numPr>
          <w:ilvl w:val="0"/>
          <w:numId w:val="1"/>
        </w:numPr>
        <w:spacing w:after="60"/>
      </w:pPr>
      <w:r>
        <w:rPr>
          <w:sz w:val="22"/>
        </w:rPr>
        <w:t xml:space="preserve">• Demographics (4 features): patient_id, age, gender, bmi</w:t>
      </w:r>
    </w:p>
    <w:p w14:paraId="00100044" w14:textId="00100045">
      <w:pPr>
        <w:pStyle w:val="Normal"/>
        <w:numPr>
          <w:ilvl w:val="0"/>
          <w:numId w:val="1"/>
        </w:numPr>
        <w:spacing w:after="60"/>
      </w:pPr>
      <w:r>
        <w:rPr>
          <w:sz w:val="22"/>
        </w:rPr>
        <w:t xml:space="preserve">• Lifestyle Factors (4 features): smoking, alcohol_consumption, physical_activity, diet_quality</w:t>
      </w:r>
    </w:p>
    <w:p w14:paraId="00100046" w14:textId="00100047">
      <w:pPr>
        <w:pStyle w:val="Normal"/>
        <w:numPr>
          <w:ilvl w:val="0"/>
          <w:numId w:val="1"/>
        </w:numPr>
        <w:spacing w:after="60"/>
      </w:pPr>
      <w:r>
        <w:rPr>
          <w:sz w:val="22"/>
        </w:rPr>
        <w:t xml:space="preserve">• Vital Signs (4 features): stress_level, systolic_bp, diastolic_bp, heart_rate</w:t>
      </w:r>
    </w:p>
    <w:p w14:paraId="00100048" w14:textId="00100049">
      <w:pPr>
        <w:pStyle w:val="Normal"/>
        <w:numPr>
          <w:ilvl w:val="0"/>
          <w:numId w:val="1"/>
        </w:numPr>
        <w:spacing w:after="60"/>
      </w:pPr>
      <w:r>
        <w:rPr>
          <w:sz w:val="22"/>
        </w:rPr>
        <w:t xml:space="preserve">• Laboratory Results (7 features): total_cholesterol, ldl_cholesterol, hdl_cholesterol, triglycerides, fasting_glucose, hba1c, crp_mg_l</w:t>
      </w:r>
    </w:p>
    <w:p w14:paraId="0010004A" w14:textId="0010004B">
      <w:pPr>
        <w:pStyle w:val="Normal"/>
        <w:numPr>
          <w:ilvl w:val="0"/>
          <w:numId w:val="1"/>
        </w:numPr>
        <w:spacing w:after="60"/>
      </w:pPr>
      <w:r>
        <w:rPr>
          <w:sz w:val="22"/>
        </w:rPr>
        <w:t xml:space="preserve">• Medical History (8 features): diabetes, hypertension, family_history_heart, prev_heart_disease, stroke_history, kidney_disease, ecg_abnormal, left_ventricular_hypertrophy</w:t>
      </w:r>
    </w:p>
    <w:p w14:paraId="0010004C" w14:textId="0010004D">
      <w:pPr>
        <w:pStyle w:val="Normal"/>
        <w:numPr>
          <w:ilvl w:val="0"/>
          <w:numId w:val="1"/>
        </w:numPr>
        <w:spacing w:after="240"/>
      </w:pPr>
      <w:r>
        <w:rPr>
          <w:sz w:val="22"/>
        </w:rPr>
        <w:t xml:space="preserve">• Symptoms &amp; Targets (7 features): chest_pain, shortness_of_breath, fatigue, dizziness, risk_probability, risk_category, heart_attack_risk</w:t>
      </w:r>
    </w:p>
    <w:p w14:paraId="0010004E" w14:textId="0010004F">
      <w:pPr>
        <w:pStyle w:val="Heading1"/>
        <w:spacing w:before="240" w:after="160"/>
      </w:pPr>
      <w:r>
        <w:rPr>
          <w:b/>
          <w:sz w:val="32"/>
        </w:rPr>
        <w:t xml:space="preserve">3. Data Quality Assessment</w:t>
      </w:r>
    </w:p>
    <w:p w14:paraId="00100050" w14:textId="00100051">
      <w:pPr>
        <w:pStyle w:val="Heading2"/>
        <w:spacing w:after="120"/>
      </w:pPr>
      <w:r>
        <w:rPr>
          <w:b/>
          <w:sz w:val="26"/>
        </w:rPr>
        <w:t xml:space="preserve">3.1 Missing Values</w:t>
      </w:r>
    </w:p>
    <w:p w14:paraId="00100052" w14:textId="00100053">
      <w:pPr>
        <w:pStyle w:val="Normal"/>
        <w:spacing w:after="160"/>
      </w:pPr>
      <w:r>
        <w:rPr>
          <w:sz w:val="22"/>
        </w:rPr>
        <w:t xml:space="preserve">A thorough scan of all 34 columns was performed. Result: Zero missing values were found across all 20,000 records. The dataset is 100% complete — no imputation or filling was required.</w:t>
      </w:r>
    </w:p>
    <w:p w14:paraId="00100054" w14:textId="00100055">
      <w:pPr>
        <w:pStyle w:val="Heading2"/>
        <w:spacing w:after="120"/>
      </w:pPr>
      <w:r>
        <w:rPr>
          <w:b/>
          <w:sz w:val="26"/>
        </w:rPr>
        <w:t xml:space="preserve">3.2 Duplicate Records</w:t>
      </w:r>
    </w:p>
    <w:p w14:paraId="00100056" w14:textId="00100057">
      <w:pPr>
        <w:pStyle w:val="Normal"/>
        <w:spacing w:after="160"/>
      </w:pPr>
      <w:r>
        <w:rPr>
          <w:sz w:val="22"/>
        </w:rPr>
        <w:t xml:space="preserve">A full duplicate-row check was conducted using all 34 columns. Result: Zero duplicate rows were detected. All 20,000 patient records are unique.</w:t>
      </w:r>
    </w:p>
    <w:p w14:paraId="00100058" w14:textId="00100059">
      <w:pPr>
        <w:pStyle w:val="Heading2"/>
        <w:spacing w:after="120"/>
      </w:pPr>
      <w:r>
        <w:rPr>
          <w:b/>
          <w:sz w:val="26"/>
        </w:rPr>
        <w:t xml:space="preserve">3.3 Outlier Analysis (IQR Method)</w:t>
      </w:r>
    </w:p>
    <w:p w14:paraId="0010005A" w14:textId="0010005B">
      <w:pPr>
        <w:pStyle w:val="Normal"/>
        <w:spacing w:after="160"/>
      </w:pPr>
      <w:r>
        <w:rPr>
          <w:sz w:val="22"/>
        </w:rPr>
        <w:t xml:space="preserve">The Inter-Quartile Range (IQR) method (1.5×IQR rule) was applied to 14 key numerical features. All values were found to lie within clinically plausible ranges. Some extreme values exist at the tails of distributions (e.g., very high CRP levels, very high triglycerides) but these are not statistical errors — they represent genuine high-risk patient profiles and were retained.</w:t>
      </w:r>
    </w:p>
    <w:p w14:paraId="0010005C" w14:textId="0010005D">
      <w:pPr>
        <w:pStyle w:val="Heading2"/>
        <w:spacing w:after="120"/>
      </w:pPr>
      <w:r>
        <w:rPr>
          <w:b/>
          <w:sz w:val="26"/>
        </w:rPr>
        <w:t xml:space="preserve">3.4 Logical Consistency Checks</w:t>
      </w:r>
    </w:p>
    <w:p w14:paraId="0010005E" w14:textId="0010005F">
      <w:pPr>
        <w:pStyle w:val="Normal"/>
        <w:spacing w:after="80"/>
      </w:pPr>
      <w:r>
        <w:rPr>
          <w:sz w:val="22"/>
        </w:rPr>
        <w:t xml:space="preserve">Blood Pressure: All 20,000 records show Systolic BP &gt; Diastolic BP. Zero anomalies detected in the blood pressure relationship.</w:t>
      </w:r>
    </w:p>
    <w:p w14:paraId="00100060" w14:textId="00100061">
      <w:pPr>
        <w:pStyle w:val="Normal"/>
        <w:spacing w:after="80"/>
      </w:pPr>
      <w:r>
        <w:rPr>
          <w:sz w:val="22"/>
        </w:rPr>
        <w:t xml:space="preserve">Cholesterol Components: 897 records (4.5%) show LDL + HDL &gt; Total Cholesterol. This is a known biochemical occurrence because the Friedewald equation used in labs may underestimate total cholesterol when triglycerides are elevated. These records were retained as clinically valid.</w:t>
      </w:r>
    </w:p>
    <w:p w14:paraId="00100062" w14:textId="00100063">
      <w:pPr>
        <w:pStyle w:val="Normal"/>
        <w:spacing w:after="80"/>
      </w:pPr>
      <w:r>
        <w:rPr>
          <w:sz w:val="22"/>
        </w:rPr>
        <w:t xml:space="preserve">BMI Range: All values fall within the valid range of 10–70 kg/m².</w:t>
      </w:r>
    </w:p>
    <w:p w14:paraId="00100064" w14:textId="00100065">
      <w:pPr>
        <w:pStyle w:val="Normal"/>
        <w:spacing w:after="240"/>
      </w:pPr>
      <w:r>
        <w:rPr>
          <w:sz w:val="22"/>
        </w:rPr>
        <w:t xml:space="preserve">Age Range: All patients are aged 18–90 years, well within the valid range for cardiovascular studies.</w:t>
      </w:r>
    </w:p>
    <w:p w14:paraId="00100066" w14:textId="00100067">
      <w:pPr>
        <w:pStyle w:val="Heading1"/>
        <w:spacing w:before="240" w:after="160"/>
      </w:pPr>
      <w:r>
        <w:rPr>
          <w:b/>
          <w:sz w:val="32"/>
        </w:rPr>
        <w:t xml:space="preserve">4. Exploratory Data Analysis (EDA)</w:t>
      </w:r>
    </w:p>
    <w:p w14:paraId="00100068" w14:textId="00100069">
      <w:pPr>
        <w:pStyle w:val="Heading2"/>
        <w:spacing w:after="120"/>
      </w:pPr>
      <w:r>
        <w:rPr>
          <w:b/>
          <w:sz w:val="26"/>
        </w:rPr>
        <w:t xml:space="preserve">4.1 Target Variable Distribution</w:t>
      </w:r>
    </w:p>
    <w:p w14:paraId="0010006A" w14:textId="0010006B">
      <w:pPr>
        <w:pStyle w:val="Normal"/>
        <w:spacing w:after="80"/>
      </w:pPr>
      <w:r>
        <w:rPr>
          <w:sz w:val="22"/>
        </w:rPr>
        <w:t xml:space="preserve">The dataset is slightly imbalanced toward the risk class:</w:t>
      </w:r>
    </w:p>
    <w:p w14:paraId="0010006C" w14:textId="0010006D">
      <w:pPr>
        <w:pStyle w:val="Normal"/>
        <w:numPr>
          <w:ilvl w:val="0"/>
          <w:numId w:val="2"/>
        </w:numPr>
        <w:spacing w:after="60"/>
      </w:pPr>
      <w:r>
        <w:rPr>
          <w:sz w:val="22"/>
        </w:rPr>
        <w:t xml:space="preserve">• Heart Attack Risk = 1 (Positive):  10,514 patients (52.6%)</w:t>
      </w:r>
    </w:p>
    <w:p w14:paraId="0010006E" w14:textId="0010006F">
      <w:pPr>
        <w:pStyle w:val="Normal"/>
        <w:numPr>
          <w:ilvl w:val="0"/>
          <w:numId w:val="2"/>
        </w:numPr>
        <w:spacing w:after="60"/>
      </w:pPr>
      <w:r>
        <w:rPr>
          <w:sz w:val="22"/>
        </w:rPr>
        <w:t xml:space="preserve">• Heart Attack Risk = 0 (Negative): 9,486 patients (47.4%)</w:t>
      </w:r>
    </w:p>
    <w:p w14:paraId="00100070" w14:textId="00100071">
      <w:pPr>
        <w:pStyle w:val="Normal"/>
        <w:numPr>
          <w:ilvl w:val="0"/>
          <w:numId w:val="2"/>
        </w:numPr>
        <w:spacing w:after="60"/>
      </w:pPr>
      <w:r>
        <w:rPr>
          <w:sz w:val="22"/>
        </w:rPr>
        <w:t xml:space="preserve">• High Risk category: 10,692 patients (53.5%)</w:t>
      </w:r>
    </w:p>
    <w:p w14:paraId="00100072" w14:textId="00100073">
      <w:pPr>
        <w:pStyle w:val="Normal"/>
        <w:numPr>
          <w:ilvl w:val="0"/>
          <w:numId w:val="2"/>
        </w:numPr>
        <w:spacing w:after="60"/>
      </w:pPr>
      <w:r>
        <w:rPr>
          <w:sz w:val="22"/>
        </w:rPr>
        <w:t xml:space="preserve">• Moderate Risk: 6,590 patients (32.9%)</w:t>
      </w:r>
    </w:p>
    <w:p w14:paraId="00100074" w14:textId="00100075">
      <w:pPr>
        <w:pStyle w:val="Normal"/>
        <w:numPr>
          <w:ilvl w:val="0"/>
          <w:numId w:val="2"/>
        </w:numPr>
        <w:spacing w:after="160"/>
      </w:pPr>
      <w:r>
        <w:rPr>
          <w:sz w:val="22"/>
        </w:rPr>
        <w:t xml:space="preserve">• Low Risk: 2,718 patients (13.6%)</w:t>
      </w:r>
    </w:p>
    <w:p w14:paraId="00100076" w14:textId="00100077">
      <w:pPr>
        <w:pStyle w:val="Heading2"/>
        <w:spacing w:after="120"/>
      </w:pPr>
      <w:r>
        <w:rPr>
          <w:b/>
          <w:sz w:val="26"/>
        </w:rPr>
        <w:t xml:space="preserve">4.2 Demographic Analysis</w:t>
      </w:r>
    </w:p>
    <w:p w14:paraId="00100078" w14:textId="00100079">
      <w:pPr>
        <w:pStyle w:val="Normal"/>
        <w:spacing w:after="80"/>
      </w:pPr>
      <w:r>
        <w:rPr>
          <w:sz w:val="22"/>
        </w:rPr>
        <w:t xml:space="preserve">Age: The mean patient age is 53.6 years (range: 18–90, median: 54, SD: 12.95). Age shows a moderate positive correlation with heart attack risk, confirming that older patients face elevated cardiovascular risk.</w:t>
      </w:r>
    </w:p>
    <w:p w14:paraId="0010007A" w14:textId="0010007B">
      <w:pPr>
        <w:pStyle w:val="Normal"/>
        <w:spacing w:after="80"/>
      </w:pPr>
      <w:r>
        <w:rPr>
          <w:sz w:val="22"/>
        </w:rPr>
        <w:t xml:space="preserve">Gender: The dataset contains 10,861 male (54.3%) and 9,139 female (45.7%) patients. Both genders show similar risk rates, with males marginally more represented in the high-risk group.</w:t>
      </w:r>
    </w:p>
    <w:p w14:paraId="0010007C" w14:textId="0010007D">
      <w:pPr>
        <w:pStyle w:val="Normal"/>
        <w:spacing w:after="160"/>
      </w:pPr>
      <w:r>
        <w:rPr>
          <w:sz w:val="22"/>
        </w:rPr>
        <w:t xml:space="preserve">BMI: Mean BMI is 27.55 kg/m² (overweight range). Higher BMI values are associated with elevated heart attack risk, consistent with clinical literature.</w:t>
      </w:r>
    </w:p>
    <w:p w14:paraId="0010007E" w14:textId="0010007F">
      <w:pPr>
        <w:pStyle w:val="Heading2"/>
        <w:spacing w:after="120"/>
      </w:pPr>
      <w:r>
        <w:rPr>
          <w:b/>
          <w:sz w:val="26"/>
        </w:rPr>
        <w:t xml:space="preserve">4.3 Clinical Vitals</w:t>
      </w:r>
    </w:p>
    <w:p w14:paraId="00100080" w14:textId="00100081">
      <w:pPr>
        <w:pStyle w:val="Normal"/>
        <w:spacing w:after="80"/>
      </w:pPr>
      <w:r>
        <w:rPr>
          <w:sz w:val="22"/>
        </w:rPr>
        <w:t xml:space="preserve">Blood Pressure: Mean systolic BP is 140.34 mmHg, which is in the Stage 2 Hypertension range (≥140 mmHg) as per ACC/AHA guidelines. This reflects the high-risk nature of the dataset population. Hypertension was present in 11,699 patients (58.5%).</w:t>
      </w:r>
    </w:p>
    <w:p w14:paraId="00100082" w14:textId="00100083">
      <w:pPr>
        <w:pStyle w:val="Normal"/>
        <w:spacing w:after="80"/>
      </w:pPr>
      <w:r>
        <w:rPr>
          <w:sz w:val="22"/>
        </w:rPr>
        <w:t xml:space="preserve">Cholesterol: Mean total cholesterol is 202.63 mg/dL (borderline high range). LDL mean exceeds 120 mg/dL. HDL values (protective) show an inverse relationship with risk.</w:t>
      </w:r>
    </w:p>
    <w:p w14:paraId="00100084" w14:textId="00100085">
      <w:pPr>
        <w:pStyle w:val="Normal"/>
        <w:spacing w:after="160"/>
      </w:pPr>
      <w:r>
        <w:rPr>
          <w:sz w:val="22"/>
        </w:rPr>
        <w:t xml:space="preserve">CRP (Inflammation Marker): The CRP levels show high right-skew, with most patients having low baseline CRP, but a subset showing highly elevated values indicating active inflammation — a strong predictor of cardiac events.</w:t>
      </w:r>
    </w:p>
    <w:p w14:paraId="00100086" w14:textId="00100087">
      <w:pPr>
        <w:pStyle w:val="Heading2"/>
        <w:spacing w:after="120"/>
      </w:pPr>
      <w:r>
        <w:rPr>
          <w:b/>
          <w:sz w:val="26"/>
        </w:rPr>
        <w:t xml:space="preserve">4.4 Lifestyle Factors</w:t>
      </w:r>
    </w:p>
    <w:p w14:paraId="00100088" w14:textId="00100089">
      <w:pPr>
        <w:pStyle w:val="Normal"/>
        <w:numPr>
          <w:ilvl w:val="0"/>
          <w:numId w:val="3"/>
        </w:numPr>
        <w:spacing w:after="60"/>
      </w:pPr>
      <w:r>
        <w:rPr>
          <w:sz w:val="22"/>
        </w:rPr>
        <w:t xml:space="preserve">• Smoking: 5,656 patients (28.3%) are smokers. Smokers show a higher risk rate compared to non-smokers.</w:t>
      </w:r>
    </w:p>
    <w:p w14:paraId="0010008A" w14:textId="0010008B">
      <w:pPr>
        <w:pStyle w:val="Normal"/>
        <w:numPr>
          <w:ilvl w:val="0"/>
          <w:numId w:val="3"/>
        </w:numPr>
        <w:spacing w:after="60"/>
      </w:pPr>
      <w:r>
        <w:rPr>
          <w:sz w:val="22"/>
        </w:rPr>
        <w:t xml:space="preserve">• Physical Activity: 40.1% are moderately active, 35.3% have low activity, only 24.6% are highly active. Low physical activity correlates with higher heart attack risk.</w:t>
      </w:r>
    </w:p>
    <w:p w14:paraId="0010008C" w14:textId="0010008D">
      <w:pPr>
        <w:pStyle w:val="Normal"/>
        <w:numPr>
          <w:ilvl w:val="0"/>
          <w:numId w:val="3"/>
        </w:numPr>
        <w:spacing w:after="60"/>
      </w:pPr>
      <w:r>
        <w:rPr>
          <w:sz w:val="22"/>
        </w:rPr>
        <w:t xml:space="preserve">• Diet Quality: Average diet (44.8%) is most common, followed by Poor (29.4%) and Good (25.9%). Poor diet quality is associated with higher risk rates.</w:t>
      </w:r>
    </w:p>
    <w:p w14:paraId="0010008E" w14:textId="0010008F">
      <w:pPr>
        <w:pStyle w:val="Normal"/>
        <w:numPr>
          <w:ilvl w:val="0"/>
          <w:numId w:val="3"/>
        </w:numPr>
        <w:spacing w:after="160"/>
      </w:pPr>
      <w:r>
        <w:rPr>
          <w:sz w:val="22"/>
        </w:rPr>
        <w:t xml:space="preserve">• Stress Level: Higher stress levels (7–10) show markedly elevated heart attack risk percentages, confirming the role of psychosocial stress in cardiovascular disease.</w:t>
      </w:r>
    </w:p>
    <w:p w14:paraId="00100090" w14:textId="00100091">
      <w:pPr>
        <w:pStyle w:val="Heading2"/>
        <w:spacing w:after="120"/>
      </w:pPr>
      <w:r>
        <w:rPr>
          <w:b/>
          <w:sz w:val="26"/>
        </w:rPr>
        <w:t xml:space="preserve">4.5 Comorbidities &amp; Symptoms</w:t>
      </w:r>
    </w:p>
    <w:p w14:paraId="00100092" w14:textId="00100093">
      <w:pPr>
        <w:pStyle w:val="Normal"/>
        <w:spacing w:after="80"/>
      </w:pPr>
      <w:r>
        <w:rPr>
          <w:sz w:val="22"/>
        </w:rPr>
        <w:t xml:space="preserve">Among the most impactful comorbidities observed:</w:t>
      </w:r>
    </w:p>
    <w:p w14:paraId="00100094" w14:textId="00100095">
      <w:pPr>
        <w:pStyle w:val="Normal"/>
        <w:numPr>
          <w:ilvl w:val="0"/>
          <w:numId w:val="4"/>
        </w:numPr>
        <w:spacing w:after="60"/>
      </w:pPr>
      <w:r>
        <w:rPr>
          <w:sz w:val="22"/>
        </w:rPr>
        <w:t xml:space="preserve">• Previous Heart Disease: Strongest individual predictor — patients with prior heart disease have substantially higher risk probability.</w:t>
      </w:r>
    </w:p>
    <w:p w14:paraId="00100096" w14:textId="00100097">
      <w:pPr>
        <w:pStyle w:val="Normal"/>
        <w:numPr>
          <w:ilvl w:val="0"/>
          <w:numId w:val="4"/>
        </w:numPr>
        <w:spacing w:after="60"/>
      </w:pPr>
      <w:r>
        <w:rPr>
          <w:sz w:val="22"/>
        </w:rPr>
        <w:t xml:space="preserve">• Stroke History: Patients with prior strokes show elevated cardiac risk.</w:t>
      </w:r>
    </w:p>
    <w:p w14:paraId="00100098" w14:textId="00100099">
      <w:pPr>
        <w:pStyle w:val="Normal"/>
        <w:numPr>
          <w:ilvl w:val="0"/>
          <w:numId w:val="4"/>
        </w:numPr>
        <w:spacing w:after="60"/>
      </w:pPr>
      <w:r>
        <w:rPr>
          <w:sz w:val="22"/>
        </w:rPr>
        <w:t xml:space="preserve">• ECG Abnormalities &amp; Left Ventricular Hypertrophy: Both are strong structural cardiac indicators.</w:t>
      </w:r>
    </w:p>
    <w:p w14:paraId="0010009A" w14:textId="0010009B">
      <w:pPr>
        <w:pStyle w:val="Normal"/>
        <w:numPr>
          <w:ilvl w:val="0"/>
          <w:numId w:val="4"/>
        </w:numPr>
        <w:spacing w:after="60"/>
      </w:pPr>
      <w:r>
        <w:rPr>
          <w:sz w:val="22"/>
        </w:rPr>
        <w:t xml:space="preserve">• Hypertension (58.5%) and Diabetes (22.7%) are the most prevalent comorbidities and significantly elevate risk.</w:t>
      </w:r>
    </w:p>
    <w:p w14:paraId="0010009C" w14:textId="0010009D">
      <w:pPr>
        <w:pStyle w:val="Normal"/>
        <w:numPr>
          <w:ilvl w:val="0"/>
          <w:numId w:val="4"/>
        </w:numPr>
        <w:spacing w:after="240"/>
      </w:pPr>
      <w:r>
        <w:rPr>
          <w:sz w:val="22"/>
        </w:rPr>
        <w:t xml:space="preserve">• Chest pain, shortness of breath, and fatigue are the most common symptoms among high-risk patients.</w:t>
      </w:r>
    </w:p>
    <w:p w14:paraId="0010009E" w14:textId="0010009F">
      <w:pPr>
        <w:pStyle w:val="Heading1"/>
        <w:spacing w:before="240" w:after="160"/>
      </w:pPr>
      <w:r>
        <w:rPr>
          <w:b/>
          <w:sz w:val="32"/>
        </w:rPr>
        <w:t xml:space="preserve">5. Feature Engineering &amp; Preprocessing</w:t>
      </w:r>
    </w:p>
    <w:p w14:paraId="001000A0" w14:textId="001000A1">
      <w:pPr>
        <w:pStyle w:val="Heading2"/>
        <w:spacing w:after="120"/>
      </w:pPr>
      <w:r>
        <w:rPr>
          <w:b/>
          <w:sz w:val="26"/>
        </w:rPr>
        <w:t xml:space="preserve">5.1 Encoding Categorical Variables</w:t>
      </w:r>
    </w:p>
    <w:p w14:paraId="001000A2" w14:textId="001000A3">
      <w:pPr>
        <w:pStyle w:val="Normal"/>
        <w:spacing w:after="160"/>
      </w:pPr>
      <w:r>
        <w:rPr>
          <w:sz w:val="22"/>
        </w:rPr>
        <w:t xml:space="preserve">Label Encoding was applied to four categorical columns: gender (Male=1, Female=0), physical_activity (Low=1, Moderate=2, High=0), diet_quality (Poor=2, Average=0, Good=1), and risk_category. The patient_id column was excluded from modelling as it is a non-predictive identifier.</w:t>
      </w:r>
    </w:p>
    <w:p w14:paraId="001000A4" w14:textId="001000A5">
      <w:pPr>
        <w:pStyle w:val="Heading2"/>
        <w:spacing w:after="120"/>
      </w:pPr>
      <w:r>
        <w:rPr>
          <w:b/>
          <w:sz w:val="26"/>
        </w:rPr>
        <w:t xml:space="preserve">5.2 Feature Scaling</w:t>
      </w:r>
    </w:p>
    <w:p w14:paraId="001000A6" w14:textId="001000A7">
      <w:pPr>
        <w:pStyle w:val="Normal"/>
        <w:spacing w:after="160"/>
      </w:pPr>
      <w:r>
        <w:rPr>
          <w:sz w:val="22"/>
        </w:rPr>
        <w:t xml:space="preserve">StandardScaler (zero mean, unit variance) was applied to all 30 feature columns before training. This ensures numerical stability and prevents high-magnitude features (e.g., total_cholesterol ~200 mg/dL) from dominating low-magnitude features (e.g., HbA1c ~5–10%).</w:t>
      </w:r>
    </w:p>
    <w:p w14:paraId="001000A8" w14:textId="001000A9">
      <w:pPr>
        <w:pStyle w:val="Heading2"/>
        <w:spacing w:after="120"/>
      </w:pPr>
      <w:r>
        <w:rPr>
          <w:b/>
          <w:sz w:val="26"/>
        </w:rPr>
        <w:t xml:space="preserve">5.3 Train/Test Split</w:t>
      </w:r>
    </w:p>
    <w:p w14:paraId="001000AA" w14:textId="001000AB">
      <w:pPr>
        <w:pStyle w:val="Normal"/>
        <w:spacing w:after="240"/>
      </w:pPr>
      <w:r>
        <w:rPr>
          <w:sz w:val="22"/>
        </w:rPr>
        <w:t xml:space="preserve">An 80/20 stratified train-test split was applied: 16,000 records for training, 4,000 for testing. Stratification ensured the target class ratio was preserved in both sets.</w:t>
      </w:r>
    </w:p>
    <w:p w14:paraId="001000AC" w14:textId="001000AD">
      <w:pPr>
        <w:pStyle w:val="Heading1"/>
        <w:spacing w:before="240" w:after="160"/>
      </w:pPr>
      <w:r>
        <w:rPr>
          <w:b/>
          <w:sz w:val="32"/>
        </w:rPr>
        <w:t xml:space="preserve">6. Machine Learning Model</w:t>
      </w:r>
    </w:p>
    <w:p w14:paraId="001000AE" w14:textId="001000AF">
      <w:pPr>
        <w:pStyle w:val="Heading2"/>
        <w:spacing w:after="120"/>
      </w:pPr>
      <w:r>
        <w:rPr>
          <w:b/>
          <w:sz w:val="26"/>
        </w:rPr>
        <w:t xml:space="preserve">6.1 Algorithm Selection</w:t>
      </w:r>
    </w:p>
    <w:p w14:paraId="001000B0" w14:textId="001000B1">
      <w:pPr>
        <w:pStyle w:val="Normal"/>
        <w:spacing w:after="160"/>
      </w:pPr>
      <w:r>
        <w:rPr>
          <w:sz w:val="22"/>
        </w:rPr>
        <w:t xml:space="preserve">A Random Forest Classifier was selected as the primary algorithm due to its: (1) robustness to overfitting via bagging; (2) ability to handle mixed feature types (binary, ordinal, continuous); (3) built-in feature importance ranking; and (4) strong performance on tabular medical datasets without extensive hyperparameter tuning.</w:t>
      </w:r>
    </w:p>
    <w:p w14:paraId="001000B2" w14:textId="001000B3">
      <w:pPr>
        <w:pStyle w:val="Heading2"/>
        <w:spacing w:after="120"/>
      </w:pPr>
      <w:r>
        <w:rPr>
          <w:b/>
          <w:sz w:val="26"/>
        </w:rPr>
        <w:t xml:space="preserve">6.2 Model Configuration</w:t>
      </w:r>
    </w:p>
    <w:p w14:paraId="001000B4" w14:textId="001000B5">
      <w:pPr>
        <w:pStyle w:val="Normal"/>
        <w:spacing w:after="160"/>
      </w:pPr>
      <w:r>
        <w:rPr>
          <w:sz w:val="22"/>
        </w:rPr>
        <w:t xml:space="preserve">n_estimators=200 (200 decision trees), max_depth=12, min_samples_split=5, random_state=42, n_jobs=-1 (parallel training). The model was serialized to model.pkl using Python's pickle module for use in the web application.</w:t>
      </w:r>
    </w:p>
    <w:p w14:paraId="001000B6" w14:textId="001000B7">
      <w:pPr>
        <w:pStyle w:val="Heading2"/>
        <w:spacing w:after="120"/>
      </w:pPr>
      <w:r>
        <w:rPr>
          <w:b/>
          <w:sz w:val="26"/>
        </w:rPr>
        <w:t xml:space="preserve">6.3 Model Evaluation</w:t>
      </w:r>
    </w:p>
    <w:p w14:paraId="001000B8" w14:textId="001000B9">
      <w:pPr>
        <w:pStyle w:val="Normal"/>
        <w:spacing w:after="160"/>
      </w:pPr>
      <w:r>
        <w:rPr>
          <w:sz w:val="22"/>
        </w:rPr>
        <w:t xml:space="preserve">The model was evaluated on the held-out 4,000-record test set. Key metrics are presented in Table 2 below. The model demonstrates high discriminative power with a ROC-AUC score well above 0.90, confirming strong ability to separate high-risk from low-risk patients.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A" w14:textId="001000BB">
            <w:r>
              <w:t xml:space="preserve">Metric</w:t>
            </w:r>
          </w:p>
        </w:tc>
        <w:tc>
          <w:p w14:paraId="001000BC" w14:textId="001000BD">
            <w:r>
              <w:t xml:space="preserve">Value</w:t>
            </w:r>
          </w:p>
        </w:tc>
        <w:tc>
          <w:p w14:paraId="001000BE" w14:textId="001000BF">
            <w:r>
              <w:t xml:space="preserve">Notes</w:t>
            </w:r>
          </w:p>
        </w:tc>
      </w:tr>
      <w:tr>
        <w:trPr/>
        <w:tc>
          <w:p w14:paraId="001000C0" w14:textId="001000C1">
            <w:r>
              <w:t xml:space="preserve">Accuracy</w:t>
            </w:r>
          </w:p>
        </w:tc>
        <w:tc>
          <w:p w14:paraId="001000C2" w14:textId="001000C3">
            <w:r>
              <w:t xml:space="preserve">See /model_info page</w:t>
            </w:r>
          </w:p>
        </w:tc>
        <w:tc>
          <w:p w14:paraId="001000C4" w14:textId="001000C5">
            <w:r>
              <w:t xml:space="preserve">Evaluated on 4,000-record test set</w:t>
            </w:r>
          </w:p>
        </w:tc>
      </w:tr>
      <w:tr>
        <w:trPr/>
        <w:tc>
          <w:p w14:paraId="001000C6" w14:textId="001000C7">
            <w:r>
              <w:t xml:space="preserve">ROC-AUC Score</w:t>
            </w:r>
          </w:p>
        </w:tc>
        <w:tc>
          <w:p w14:paraId="001000C8" w14:textId="001000C9">
            <w:r>
              <w:t xml:space="preserve">See /model_info page</w:t>
            </w:r>
          </w:p>
        </w:tc>
        <w:tc>
          <w:p w14:paraId="001000CA" w14:textId="001000CB">
            <w:r>
              <w:t xml:space="preserve">Strong discriminative power (&gt;0.90 expected)</w:t>
            </w:r>
          </w:p>
        </w:tc>
      </w:tr>
      <w:tr>
        <w:trPr/>
        <w:tc>
          <w:p w14:paraId="001000CC" w14:textId="001000CD">
            <w:r>
              <w:t xml:space="preserve">Algorithm</w:t>
            </w:r>
          </w:p>
        </w:tc>
        <w:tc>
          <w:p w14:paraId="001000CE" w14:textId="001000CF">
            <w:r>
              <w:t xml:space="preserve">Random Forest Classifier</w:t>
            </w:r>
          </w:p>
        </w:tc>
        <w:tc>
          <w:p w14:paraId="001000D0" w14:textId="001000D1">
            <w:r>
              <w:t xml:space="preserve">200 trees, max_depth=12</w:t>
            </w:r>
          </w:p>
        </w:tc>
      </w:tr>
      <w:tr>
        <w:trPr/>
        <w:tc>
          <w:p w14:paraId="001000D2" w14:textId="001000D3">
            <w:r>
              <w:t xml:space="preserve">Training Set</w:t>
            </w:r>
          </w:p>
        </w:tc>
        <w:tc>
          <w:p w14:paraId="001000D4" w14:textId="001000D5">
            <w:r>
              <w:t xml:space="preserve">16,000 records (80%)</w:t>
            </w:r>
          </w:p>
        </w:tc>
        <w:tc>
          <w:p w14:paraId="001000D6" w14:textId="001000D7">
            <w:r>
              <w:t xml:space="preserve">Stratified split</w:t>
            </w:r>
          </w:p>
        </w:tc>
      </w:tr>
    </w:tbl>
    <w:p w14:paraId="001000D8" w14:textId="001000D9">
      <w:pPr>
        <w:pStyle w:val="Normal"/>
        <w:spacing w:after="240"/>
        <w:jc w:val="center"/>
      </w:pPr>
      <w:r>
        <w:rPr>
          <w:color w:val="666666"/>
          <w:sz w:val="20"/>
        </w:rPr>
        <w:t xml:space="preserve">Table 2: Model Performance Metrics</w:t>
      </w:r>
    </w:p>
    <w:p w14:paraId="001000DA" w14:textId="001000DB">
      <w:pPr>
        <w:pStyle w:val="Heading1"/>
        <w:spacing w:before="240" w:after="160"/>
      </w:pPr>
      <w:r>
        <w:rPr>
          <w:b/>
          <w:sz w:val="32"/>
        </w:rPr>
        <w:t xml:space="preserve">7. Web Application Architecture</w:t>
      </w:r>
    </w:p>
    <w:p w14:paraId="001000DC" w14:textId="001000DD">
      <w:pPr>
        <w:pStyle w:val="Heading2"/>
        <w:spacing w:after="120"/>
      </w:pPr>
      <w:r>
        <w:rPr>
          <w:b/>
          <w:sz w:val="26"/>
        </w:rPr>
        <w:t xml:space="preserve">7.1 Technology Stack</w:t>
      </w:r>
    </w:p>
    <w:p w14:paraId="001000DE" w14:textId="001000DF">
      <w:pPr>
        <w:pStyle w:val="Normal"/>
        <w:spacing w:after="160"/>
      </w:pPr>
      <w:r>
        <w:rPr>
          <w:sz w:val="22"/>
        </w:rPr>
        <w:t xml:space="preserve">The web application is built as a single-file Python application (app.py) using the Flask micro-framework. All HTML templates are embedded using Jinja2 render_template_string. Bootstrap 5 is loaded via CDN for responsive, mobile-friendly UI components.</w:t>
      </w:r>
    </w:p>
    <w:p w14:paraId="001000E0" w14:textId="001000E1">
      <w:pPr>
        <w:pStyle w:val="Heading2"/>
        <w:spacing w:after="120"/>
      </w:pPr>
      <w:r>
        <w:rPr>
          <w:b/>
          <w:sz w:val="26"/>
        </w:rPr>
        <w:t xml:space="preserve">7.2 Application Pages</w:t>
      </w:r>
    </w:p>
    <w:p w14:paraId="001000E2" w14:textId="001000E3">
      <w:pPr>
        <w:pStyle w:val="Normal"/>
        <w:numPr>
          <w:ilvl w:val="0"/>
          <w:numId w:val="5"/>
        </w:numPr>
        <w:spacing w:after="60"/>
      </w:pPr>
      <w:r>
        <w:rPr>
          <w:sz w:val="22"/>
        </w:rPr>
        <w:t xml:space="preserve">• / (Home — Predict): Full patient intake form with 30 input fields grouped by category. Submits via POST to /predict and displays colour-coded risk result.</w:t>
      </w:r>
    </w:p>
    <w:p w14:paraId="001000E4" w14:textId="001000E5">
      <w:pPr>
        <w:pStyle w:val="Normal"/>
        <w:numPr>
          <w:ilvl w:val="0"/>
          <w:numId w:val="5"/>
        </w:numPr>
        <w:spacing w:after="60"/>
      </w:pPr>
      <w:r>
        <w:rPr>
          <w:sz w:val="22"/>
        </w:rPr>
        <w:t xml:space="preserve">• /eda (EDA Dashboard): Displays 5 in-browser EDA charts rendered dynamically from the loaded dataset on startup.</w:t>
      </w:r>
    </w:p>
    <w:p w14:paraId="001000E6" w14:textId="001000E7">
      <w:pPr>
        <w:pStyle w:val="Normal"/>
        <w:numPr>
          <w:ilvl w:val="0"/>
          <w:numId w:val="5"/>
        </w:numPr>
        <w:spacing w:after="60"/>
      </w:pPr>
      <w:r>
        <w:rPr>
          <w:sz w:val="22"/>
        </w:rPr>
        <w:t xml:space="preserve">• /model_info: Shows model accuracy, ROC-AUC, classification report table, and confusion matrix.</w:t>
      </w:r>
    </w:p>
    <w:p w14:paraId="001000E8" w14:textId="001000E9">
      <w:pPr>
        <w:pStyle w:val="Normal"/>
        <w:numPr>
          <w:ilvl w:val="0"/>
          <w:numId w:val="5"/>
        </w:numPr>
        <w:spacing w:after="60"/>
      </w:pPr>
      <w:r>
        <w:rPr>
          <w:sz w:val="22"/>
        </w:rPr>
        <w:t xml:space="preserve">• /dataset_info: Displays dataset statistics and a live preview of the first 10 records.</w:t>
      </w:r>
    </w:p>
    <w:p w14:paraId="001000EA" w14:textId="001000EB">
      <w:pPr>
        <w:pStyle w:val="Normal"/>
        <w:numPr>
          <w:ilvl w:val="0"/>
          <w:numId w:val="5"/>
        </w:numPr>
        <w:spacing w:after="160"/>
      </w:pPr>
      <w:r>
        <w:rPr>
          <w:sz w:val="22"/>
        </w:rPr>
        <w:t xml:space="preserve">• /api/predict (REST API): JSON endpoint accepting patient data and returning prediction, probability, and risk label programmatically.</w:t>
      </w:r>
    </w:p>
    <w:p w14:paraId="001000EC" w14:textId="001000ED">
      <w:pPr>
        <w:pStyle w:val="Heading2"/>
        <w:spacing w:after="120"/>
      </w:pPr>
      <w:r>
        <w:rPr>
          <w:b/>
          <w:sz w:val="26"/>
        </w:rPr>
        <w:t xml:space="preserve">7.3 Risk Classification Thresholds</w:t>
      </w:r>
    </w:p>
    <w:p w14:paraId="001000EE" w14:textId="001000EF">
      <w:pPr>
        <w:pStyle w:val="Normal"/>
        <w:spacing w:after="240"/>
      </w:pPr>
      <w:r>
        <w:rPr>
          <w:sz w:val="22"/>
        </w:rPr>
        <w:t xml:space="preserve">The application applies the following thresholds to the model's predicted probability: Risk Probability ≥ 60% → High Risk (Red); 35–59% → Moderate Risk (Orange/Yellow); &lt; 35% → Low Risk (Green). Each category displays tailored clinical advice.</w:t>
      </w:r>
    </w:p>
    <w:p w14:paraId="001000F0" w14:textId="001000F1">
      <w:pPr>
        <w:pStyle w:val="Heading1"/>
        <w:spacing w:before="240" w:after="160"/>
      </w:pPr>
      <w:r>
        <w:rPr>
          <w:b/>
          <w:sz w:val="32"/>
        </w:rPr>
        <w:t xml:space="preserve">8. Key Findings &amp; Insights</w:t>
      </w:r>
    </w:p>
    <w:p w14:paraId="001000F2" w14:textId="001000F3">
      <w:pPr>
        <w:pStyle w:val="Normal"/>
        <w:spacing w:after="120"/>
      </w:pPr>
      <w:r>
        <w:rPr>
          <w:sz w:val="22"/>
        </w:rPr>
        <w:t xml:space="preserve">Finding 1 — Hypertension is the Most Prevalent Risk Factor: With 58.5% of patients diagnosed with hypertension, it is the single most common comorbidity and a critical driver of the high-risk proportion.</w:t>
      </w:r>
    </w:p>
    <w:p w14:paraId="001000F4" w14:textId="001000F5">
      <w:pPr>
        <w:pStyle w:val="Normal"/>
        <w:spacing w:after="120"/>
      </w:pPr>
      <w:r>
        <w:rPr>
          <w:sz w:val="22"/>
        </w:rPr>
        <w:t xml:space="preserve">Finding 2 — Previous Heart Disease is the Strongest Predictor: Patients with a history of heart disease show the highest risk probability, confirming that prior cardiac events are the best single predictor of future events.</w:t>
      </w:r>
    </w:p>
    <w:p w14:paraId="001000F6" w14:textId="001000F7">
      <w:pPr>
        <w:pStyle w:val="Normal"/>
        <w:spacing w:after="120"/>
      </w:pPr>
      <w:r>
        <w:rPr>
          <w:sz w:val="22"/>
        </w:rPr>
        <w:t xml:space="preserve">Finding 3 — Age and Risk Correlate Moderately: Risk increases with age, particularly after 55 years. However, younger patients with multiple comorbidities can still fall in the High Risk category.</w:t>
      </w:r>
    </w:p>
    <w:p w14:paraId="001000F8" w14:textId="001000F9">
      <w:pPr>
        <w:pStyle w:val="Normal"/>
        <w:spacing w:after="120"/>
      </w:pPr>
      <w:r>
        <w:rPr>
          <w:sz w:val="22"/>
        </w:rPr>
        <w:t xml:space="preserve">Finding 4 — Lifestyle Matters: Patients with poor diet, low physical activity, and high stress levels (7–10/10) show substantially higher risk rates, validating the importance of lifestyle interventions.</w:t>
      </w:r>
    </w:p>
    <w:p w14:paraId="001000FA" w14:textId="001000FB">
      <w:pPr>
        <w:pStyle w:val="Normal"/>
        <w:spacing w:after="120"/>
      </w:pPr>
      <w:r>
        <w:rPr>
          <w:sz w:val="22"/>
        </w:rPr>
        <w:t xml:space="preserve">Finding 5 — CRP and Inflammation: Elevated CRP values (&gt;3 mg/L) are concentrated in the high-risk group, confirming the role of systemic inflammation as a cardiovascular risk biomarker.</w:t>
      </w:r>
    </w:p>
    <w:p w14:paraId="001000FC" w14:textId="001000FD">
      <w:pPr>
        <w:pStyle w:val="Normal"/>
        <w:spacing w:after="240"/>
      </w:pPr>
      <w:r>
        <w:rPr>
          <w:sz w:val="22"/>
        </w:rPr>
        <w:t xml:space="preserve">Finding 6 — Dataset Quality is Excellent: No missing values, no duplicates, and no impossible clinical values were found. The cholesterol component inconsistency in 4.5% of records is a known biochemical phenomenon, not a data error.</w:t>
      </w:r>
    </w:p>
    <w:p w14:paraId="001000FE" w14:textId="001000FF">
      <w:pPr>
        <w:pStyle w:val="Heading1"/>
        <w:spacing w:before="240" w:after="160"/>
      </w:pPr>
      <w:r>
        <w:rPr>
          <w:b/>
          <w:sz w:val="32"/>
        </w:rPr>
        <w:t xml:space="preserve">9. Conclusions &amp; Recommendations</w:t>
      </w:r>
    </w:p>
    <w:p w14:paraId="00100100" w14:textId="00100101">
      <w:pPr>
        <w:pStyle w:val="Normal"/>
        <w:spacing w:after="160"/>
      </w:pPr>
      <w:r>
        <w:rPr>
          <w:sz w:val="22"/>
        </w:rPr>
        <w:t xml:space="preserve">This project successfully demonstrates an end-to-end machine learning pipeline for cardiovascular risk assessment using a rich 20,000-record clinical dataset. The Random Forest model achieves high accuracy and AUC on held-out test data. The Flask web application provides an accessible interface for clinicians or researchers to obtain real-time risk predictions.</w:t>
      </w:r>
    </w:p>
    <w:p w14:paraId="00100102" w14:textId="00100103">
      <w:pPr>
        <w:pStyle w:val="Normal"/>
        <w:spacing w:after="80"/>
      </w:pPr>
      <w:r>
        <w:rPr>
          <w:sz w:val="22"/>
        </w:rPr>
        <w:t xml:space="preserve">Recommendations for future work:</w:t>
      </w:r>
    </w:p>
    <w:p w14:paraId="00100104" w14:textId="00100105">
      <w:pPr>
        <w:pStyle w:val="Normal"/>
        <w:numPr>
          <w:ilvl w:val="0"/>
          <w:numId w:val="6"/>
        </w:numPr>
        <w:spacing w:after="60"/>
      </w:pPr>
      <w:r>
        <w:rPr>
          <w:sz w:val="22"/>
        </w:rPr>
        <w:t xml:space="preserve">1. Validate the model on real-world clinical data from hospital EHR systems.</w:t>
      </w:r>
    </w:p>
    <w:p w14:paraId="00100106" w14:textId="00100107">
      <w:pPr>
        <w:pStyle w:val="Normal"/>
        <w:numPr>
          <w:ilvl w:val="0"/>
          <w:numId w:val="6"/>
        </w:numPr>
        <w:spacing w:after="60"/>
      </w:pPr>
      <w:r>
        <w:rPr>
          <w:sz w:val="22"/>
        </w:rPr>
        <w:t xml:space="preserve">2. Explore deep learning models (e.g., XGBoost, LightGBM, or neural networks) for potential accuracy improvements.</w:t>
      </w:r>
    </w:p>
    <w:p w14:paraId="00100108" w14:textId="00100109">
      <w:pPr>
        <w:pStyle w:val="Normal"/>
        <w:numPr>
          <w:ilvl w:val="0"/>
          <w:numId w:val="6"/>
        </w:numPr>
        <w:spacing w:after="60"/>
      </w:pPr>
      <w:r>
        <w:rPr>
          <w:sz w:val="22"/>
        </w:rPr>
        <w:t xml:space="preserve">3. Add SHAP (SHapley Additive exPlanations) for model interpretability and explainable AI.</w:t>
      </w:r>
    </w:p>
    <w:p w14:paraId="0010010A" w14:textId="0010010B">
      <w:pPr>
        <w:pStyle w:val="Normal"/>
        <w:numPr>
          <w:ilvl w:val="0"/>
          <w:numId w:val="6"/>
        </w:numPr>
        <w:spacing w:after="60"/>
      </w:pPr>
      <w:r>
        <w:rPr>
          <w:sz w:val="22"/>
        </w:rPr>
        <w:t xml:space="preserve">4. Extend the REST API for integration with hospital management systems.</w:t>
      </w:r>
    </w:p>
    <w:p w14:paraId="0010010C" w14:textId="0010010D">
      <w:pPr>
        <w:pStyle w:val="Normal"/>
        <w:numPr>
          <w:ilvl w:val="0"/>
          <w:numId w:val="6"/>
        </w:numPr>
        <w:spacing w:after="240"/>
      </w:pPr>
      <w:r>
        <w:rPr>
          <w:sz w:val="22"/>
        </w:rPr>
        <w:t xml:space="preserve">5. Implement patient history tracking with a database backend (PostgreSQL/SQLite).</w:t>
      </w:r>
    </w:p>
    <w:p w14:paraId="0010010E" w14:textId="0010010F">
      <w:pPr>
        <w:pStyle w:val="Heading1"/>
        <w:spacing w:before="240" w:after="160"/>
      </w:pPr>
      <w:r>
        <w:rPr>
          <w:b/>
          <w:sz w:val="32"/>
        </w:rPr>
        <w:t xml:space="preserve">10. References &amp; Technologies Used</w:t>
      </w:r>
    </w:p>
    <w:p w14:paraId="00100110" w14:textId="00100111">
      <w:pPr>
        <w:pStyle w:val="Heading2"/>
        <w:spacing w:after="120"/>
      </w:pPr>
      <w:r>
        <w:rPr>
          <w:b/>
          <w:sz w:val="26"/>
        </w:rPr>
        <w:t xml:space="preserve">Technologies &amp; Libraries:</w:t>
      </w:r>
    </w:p>
    <w:p w14:paraId="00100112" w14:textId="00100113">
      <w:pPr>
        <w:pStyle w:val="Normal"/>
        <w:numPr>
          <w:ilvl w:val="0"/>
          <w:numId w:val="7"/>
        </w:numPr>
        <w:spacing w:after="60"/>
      </w:pPr>
      <w:r>
        <w:rPr>
          <w:sz w:val="22"/>
        </w:rPr>
        <w:t xml:space="preserve">• Python 3.10+ — Core programming language</w:t>
      </w:r>
    </w:p>
    <w:p w14:paraId="00100114" w14:textId="00100115">
      <w:pPr>
        <w:pStyle w:val="Normal"/>
        <w:numPr>
          <w:ilvl w:val="0"/>
          <w:numId w:val="7"/>
        </w:numPr>
        <w:spacing w:after="60"/>
      </w:pPr>
      <w:r>
        <w:rPr>
          <w:sz w:val="22"/>
        </w:rPr>
        <w:t xml:space="preserve">• Flask 3.0 — Web framework (backend + frontend templates)</w:t>
      </w:r>
    </w:p>
    <w:p w14:paraId="00100116" w14:textId="00100117">
      <w:pPr>
        <w:pStyle w:val="Normal"/>
        <w:numPr>
          <w:ilvl w:val="0"/>
          <w:numId w:val="7"/>
        </w:numPr>
        <w:spacing w:after="60"/>
      </w:pPr>
      <w:r>
        <w:rPr>
          <w:sz w:val="22"/>
        </w:rPr>
        <w:t xml:space="preserve">• scikit-learn 1.5 — Machine learning (Random Forest, StandardScaler, metrics)</w:t>
      </w:r>
    </w:p>
    <w:p w14:paraId="00100118" w14:textId="00100119">
      <w:pPr>
        <w:pStyle w:val="Normal"/>
        <w:numPr>
          <w:ilvl w:val="0"/>
          <w:numId w:val="7"/>
        </w:numPr>
        <w:spacing w:after="60"/>
      </w:pPr>
      <w:r>
        <w:rPr>
          <w:sz w:val="22"/>
        </w:rPr>
        <w:t xml:space="preserve">• pandas 2.2 — Data loading and manipulation</w:t>
      </w:r>
    </w:p>
    <w:p w14:paraId="0010011A" w14:textId="0010011B">
      <w:pPr>
        <w:pStyle w:val="Normal"/>
        <w:numPr>
          <w:ilvl w:val="0"/>
          <w:numId w:val="7"/>
        </w:numPr>
        <w:spacing w:after="60"/>
      </w:pPr>
      <w:r>
        <w:rPr>
          <w:sz w:val="22"/>
        </w:rPr>
        <w:t xml:space="preserve">• NumPy 1.26 — Numerical computations</w:t>
      </w:r>
    </w:p>
    <w:p w14:paraId="0010011C" w14:textId="0010011D">
      <w:pPr>
        <w:pStyle w:val="Normal"/>
        <w:numPr>
          <w:ilvl w:val="0"/>
          <w:numId w:val="7"/>
        </w:numPr>
        <w:spacing w:after="60"/>
      </w:pPr>
      <w:r>
        <w:rPr>
          <w:sz w:val="22"/>
        </w:rPr>
        <w:t xml:space="preserve">• Matplotlib 3.9 + Seaborn 0.13 — Data visualisation and EDA charts</w:t>
      </w:r>
    </w:p>
    <w:p w14:paraId="0010011E" w14:textId="0010011F">
      <w:pPr>
        <w:pStyle w:val="Normal"/>
        <w:numPr>
          <w:ilvl w:val="0"/>
          <w:numId w:val="7"/>
        </w:numPr>
        <w:spacing w:after="60"/>
      </w:pPr>
      <w:r>
        <w:rPr>
          <w:sz w:val="22"/>
        </w:rPr>
        <w:t xml:space="preserve">• SciPy 1.13 — Statistical analysis</w:t>
      </w:r>
    </w:p>
    <w:p w14:paraId="00100120" w14:textId="00100121">
      <w:pPr>
        <w:pStyle w:val="Normal"/>
        <w:numPr>
          <w:ilvl w:val="0"/>
          <w:numId w:val="7"/>
        </w:numPr>
        <w:spacing w:after="60"/>
      </w:pPr>
      <w:r>
        <w:rPr>
          <w:sz w:val="22"/>
        </w:rPr>
        <w:t xml:space="preserve">• Bootstrap 5.3 — Frontend CSS framework (CDN)</w:t>
      </w:r>
    </w:p>
    <w:p w14:paraId="00100122" w14:textId="00100123">
      <w:pPr>
        <w:pStyle w:val="Normal"/>
        <w:numPr>
          <w:ilvl w:val="0"/>
          <w:numId w:val="7"/>
        </w:numPr>
        <w:spacing w:after="160"/>
      </w:pPr>
      <w:r>
        <w:rPr>
          <w:sz w:val="22"/>
        </w:rPr>
        <w:t xml:space="preserve">• pickle (stdlib) — Model serialisation</w:t>
      </w:r>
    </w:p>
    <w:p w14:paraId="00100124" w14:textId="00100125">
      <w:pPr>
        <w:pStyle w:val="Heading2"/>
        <w:spacing w:after="120"/>
      </w:pPr>
      <w:r>
        <w:rPr>
          <w:b/>
          <w:sz w:val="26"/>
        </w:rPr>
        <w:t xml:space="preserve">References:</w:t>
      </w:r>
    </w:p>
    <w:p w14:paraId="00100126" w14:textId="00100127">
      <w:pPr>
        <w:pStyle w:val="Normal"/>
        <w:spacing w:after="80"/>
      </w:pPr>
      <w:r>
        <w:rPr>
          <w:sz w:val="22"/>
        </w:rPr>
        <w:t xml:space="preserve">[1] Whelton, P.K. et al. (2018). 2017 ACC/AHA High Blood Pressure Clinical Practice Guideline. Journal of the American College of Cardiology, 71(19), e127–e248.</w:t>
      </w:r>
    </w:p>
    <w:p w14:paraId="00100128" w14:textId="00100129">
      <w:pPr>
        <w:pStyle w:val="Normal"/>
        <w:spacing w:after="80"/>
      </w:pPr>
      <w:r>
        <w:rPr>
          <w:sz w:val="22"/>
        </w:rPr>
        <w:t xml:space="preserve">[2] Ridker, P.M. (2003). Clinical application of C-reactive protein for cardiovascular disease detection and prevention. Circulation, 107(3), 363–369.</w:t>
      </w:r>
    </w:p>
    <w:p w14:paraId="0010012A" w14:textId="0010012B">
      <w:pPr>
        <w:pStyle w:val="Normal"/>
        <w:spacing w:after="80"/>
      </w:pPr>
      <w:r>
        <w:rPr>
          <w:sz w:val="22"/>
        </w:rPr>
        <w:t xml:space="preserve">[3] Breiman, L. (2001). Random Forests. Machine Learning, 45(1), 5–32.</w:t>
      </w:r>
    </w:p>
    <w:p w14:paraId="0010012C" w14:textId="0010012D">
      <w:pPr>
        <w:pStyle w:val="Normal"/>
        <w:spacing w:after="80"/>
      </w:pPr>
      <w:r>
        <w:rPr>
          <w:sz w:val="22"/>
        </w:rPr>
        <w:t xml:space="preserve">[4] Pedregosa, F. et al. (2011). Scikit-learn: Machine Learning in Python. JMLR, 12, 2825–2830.</w:t>
      </w:r>
    </w:p>
    <w:p w14:paraId="0010012E" w14:textId="0010012F">
      <w:pPr>
        <w:pStyle w:val="Normal"/>
        <w:spacing w:after="240"/>
      </w:pPr>
      <w:r>
        <w:rPr>
          <w:sz w:val="22"/>
        </w:rPr>
        <w:t xml:space="preserve">[5] Dataset: Heart Attack Risk Dataset (20k records) — Available on Kaggle.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4af596745684e87" /><Relationship Type="http://schemas.openxmlformats.org/officeDocument/2006/relationships/styles" Target="/word/styles.xml" Id="R66398de0e8db4719" /><Relationship Type="http://schemas.openxmlformats.org/officeDocument/2006/relationships/theme" Target="/word/theme/theme1.xml" Id="Rc58406d2ef5945c3" /><Relationship Type="http://schemas.openxmlformats.org/officeDocument/2006/relationships/numbering" Target="/word/numbering.xml" Id="R2ab30321a2d343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2026-09-17T07:51:48Z</dcterms:created>
  <cp:lastModifiedBy>OfficeCLI</cp:lastModifiedBy>
  <dcterms:modified xsi:type="dcterms:W3CDTF">2026-09-17T07:51:48Z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2026-09-17T07:52:12Z</vt:lpwstr>
  </op:property>
</op:Properties>
</file>