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rPr>
          <w:rFonts w:ascii="Calibri" w:hAnsi="Calibri"/>
          <w:b/>
          <w:color w:val="1F4E79"/>
          <w:sz w:val="48"/>
        </w:rPr>
        <w:t>PROJECT REPORT</w:t>
      </w:r>
    </w:p>
    <w:p>
      <w:pPr>
        <w:spacing w:before="0" w:after="360"/>
        <w:jc w:val="center"/>
      </w:pPr>
      <w:r>
        <w:rPr>
          <w:rFonts w:ascii="Calibri" w:hAnsi="Calibri"/>
          <w:i/>
          <w:color w:val="4472C4"/>
          <w:sz w:val="32"/>
        </w:rPr>
        <w:t>Medical Insurance Cost Prediction using Multiple Linear Regression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F2F2F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sz w:val="20"/>
              </w:rPr>
              <w:t>Candidate / Author Name:</w:t>
            </w:r>
          </w:p>
        </w:tc>
        <w:tc>
          <w:tcPr>
            <w:tcW w:type="dxa" w:w="4680"/>
            <w:shd w:fill="FAFA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20"/>
              </w:rPr>
              <w:t>Ishika</w:t>
            </w:r>
          </w:p>
        </w:tc>
      </w:tr>
      <w:tr>
        <w:tc>
          <w:tcPr>
            <w:tcW w:type="dxa" w:w="4680"/>
            <w:shd w:fill="F2F2F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sz w:val="20"/>
              </w:rPr>
              <w:t>Project Title:</w:t>
            </w:r>
          </w:p>
        </w:tc>
        <w:tc>
          <w:tcPr>
            <w:tcW w:type="dxa" w:w="4680"/>
            <w:shd w:fill="FAFA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20"/>
              </w:rPr>
              <w:t>Medical Insurance Cost Predictor using Multiple Linear Regression</w:t>
            </w:r>
          </w:p>
        </w:tc>
      </w:tr>
      <w:tr>
        <w:tc>
          <w:tcPr>
            <w:tcW w:type="dxa" w:w="4680"/>
            <w:shd w:fill="F2F2F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sz w:val="20"/>
              </w:rPr>
              <w:t>Primary Methodology:</w:t>
            </w:r>
          </w:p>
        </w:tc>
        <w:tc>
          <w:tcPr>
            <w:tcW w:type="dxa" w:w="4680"/>
            <w:shd w:fill="FAFA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20"/>
              </w:rPr>
              <w:t>Multiple Linear Regression (Ordinary Least Squares - OLS)</w:t>
            </w:r>
          </w:p>
        </w:tc>
      </w:tr>
      <w:tr>
        <w:tc>
          <w:tcPr>
            <w:tcW w:type="dxa" w:w="4680"/>
            <w:shd w:fill="F2F2F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sz w:val="20"/>
              </w:rPr>
              <w:t>Dataset Source:</w:t>
            </w:r>
          </w:p>
        </w:tc>
        <w:tc>
          <w:tcPr>
            <w:tcW w:type="dxa" w:w="4680"/>
            <w:shd w:fill="FAFA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20"/>
              </w:rPr>
              <w:t>Kaggle (mirichoi0218/insurance - 1,338 records)</w:t>
            </w:r>
          </w:p>
        </w:tc>
      </w:tr>
    </w:tbl>
    <w:p>
      <w:pPr>
        <w:spacing w:after="240"/>
      </w:pPr>
    </w:p>
    <w:p>
      <w:pPr>
        <w:keepNext/>
        <w:spacing w:before="280" w:after="120"/>
      </w:pPr>
      <w:r>
        <w:rPr>
          <w:rFonts w:ascii="Calibri" w:hAnsi="Calibri"/>
          <w:b/>
          <w:color w:val="1F4E79"/>
          <w:sz w:val="28"/>
        </w:rPr>
        <w:t>1. Executive Summary</w:t>
      </w:r>
    </w:p>
    <w:p>
      <w:pPr>
        <w:spacing w:before="0" w:after="120" w:line="276" w:lineRule="auto"/>
      </w:pPr>
      <w:r>
        <w:rPr>
          <w:rFonts w:ascii="Calibri" w:hAnsi="Calibri"/>
          <w:i w:val="0"/>
          <w:color w:val="333333"/>
          <w:sz w:val="22"/>
        </w:rPr>
        <w:t>Accurately forecasting healthcare expenditures is a cornerstone of modern actuarial science, health insurance pricing, and healthcare policy planning. This project develops a complete predictive modeling framework utilizing Multiple Linear Regression (MLR) to quantify how personal health and demographic variables influence individual medical insurance charges.</w:t>
      </w:r>
    </w:p>
    <w:p>
      <w:pPr>
        <w:spacing w:before="0" w:after="120" w:line="276" w:lineRule="auto"/>
      </w:pPr>
      <w:r>
        <w:rPr>
          <w:rFonts w:ascii="Calibri" w:hAnsi="Calibri"/>
          <w:i w:val="0"/>
          <w:color w:val="333333"/>
          <w:sz w:val="22"/>
        </w:rPr>
        <w:t>Leveraging a benchmark dataset of 1,338 individual records from Kaggle, this study executes comprehensive data cleaning, exploratory data analysis (EDA), categorical variable encoding (binary mapping and one-hot encoding), feature selection, Ordinary Least Squares (OLS) model training, and residual diagnostics. The final model achieves a Coefficient of Determination (R²) of ~0.784 (78.4% variance explained) on unseen test data with a Root Mean Squared Error (RMSE) of ~$5,796. The investigation demonstrates that smoking status is by far the most influential determinant of healthcare charges, followed by age and Body Mass Index (BMI).</w:t>
      </w:r>
    </w:p>
    <w:p>
      <w:pPr>
        <w:keepNext/>
        <w:spacing w:before="280" w:after="120"/>
      </w:pPr>
      <w:r>
        <w:rPr>
          <w:rFonts w:ascii="Calibri" w:hAnsi="Calibri"/>
          <w:b/>
          <w:color w:val="1F4E79"/>
          <w:sz w:val="28"/>
        </w:rPr>
        <w:t>2. Problem Statement &amp; Objectives</w:t>
      </w:r>
    </w:p>
    <w:p>
      <w:pPr>
        <w:spacing w:before="0" w:after="120" w:line="276" w:lineRule="auto"/>
      </w:pPr>
      <w:r>
        <w:rPr>
          <w:rFonts w:ascii="Calibri" w:hAnsi="Calibri"/>
          <w:i w:val="0"/>
          <w:color w:val="333333"/>
          <w:sz w:val="22"/>
        </w:rPr>
        <w:t>Healthcare insurance premiums must be calculated equitably and accurately to reflect individual risk profiles while ensuring financial solvency for underwriters. The primary objectives of this study are:</w:t>
      </w:r>
    </w:p>
    <w:p>
      <w:pPr>
        <w:spacing w:before="0" w:after="120" w:line="276" w:lineRule="auto"/>
      </w:pPr>
      <w:r>
        <w:rPr>
          <w:rFonts w:ascii="Calibri" w:hAnsi="Calibri"/>
          <w:b/>
          <w:color w:val="1F4E79"/>
          <w:sz w:val="22"/>
        </w:rPr>
        <w:t xml:space="preserve">• Exploratory Analysis: </w:t>
      </w:r>
      <w:r>
        <w:rPr>
          <w:rFonts w:ascii="Calibri" w:hAnsi="Calibri"/>
          <w:i w:val="0"/>
          <w:color w:val="333333"/>
          <w:sz w:val="22"/>
        </w:rPr>
        <w:t>Systematically analyze relationships between demographic variables (age, sex, region, number of children) and physiological attributes (BMI, smoking status) against annual billed charges.</w:t>
      </w:r>
    </w:p>
    <w:p>
      <w:pPr>
        <w:spacing w:before="0" w:after="120" w:line="276" w:lineRule="auto"/>
      </w:pPr>
      <w:r>
        <w:rPr>
          <w:rFonts w:ascii="Calibri" w:hAnsi="Calibri"/>
          <w:b/>
          <w:color w:val="1F4E79"/>
          <w:sz w:val="22"/>
        </w:rPr>
        <w:t xml:space="preserve">• Data Preprocessing: </w:t>
      </w:r>
      <w:r>
        <w:rPr>
          <w:rFonts w:ascii="Calibri" w:hAnsi="Calibri"/>
          <w:i w:val="0"/>
          <w:color w:val="333333"/>
          <w:sz w:val="22"/>
        </w:rPr>
        <w:t>Clean, structure, and encode categorical features into machine-readable numeric formats while eliminating collinearity traps.</w:t>
      </w:r>
    </w:p>
    <w:p>
      <w:pPr>
        <w:spacing w:before="0" w:after="120" w:line="276" w:lineRule="auto"/>
      </w:pPr>
      <w:r>
        <w:rPr>
          <w:rFonts w:ascii="Calibri" w:hAnsi="Calibri"/>
          <w:b/>
          <w:color w:val="1F4E79"/>
          <w:sz w:val="22"/>
        </w:rPr>
        <w:t xml:space="preserve">• Predictive Modeling: </w:t>
      </w:r>
      <w:r>
        <w:rPr>
          <w:rFonts w:ascii="Calibri" w:hAnsi="Calibri"/>
          <w:i w:val="0"/>
          <w:color w:val="333333"/>
          <w:sz w:val="22"/>
        </w:rPr>
        <w:t>Formulate, fit, and validate a Multiple Linear Regression model using an 80/20 train/test partition.</w:t>
      </w:r>
    </w:p>
    <w:p>
      <w:pPr>
        <w:spacing w:before="0" w:after="120" w:line="276" w:lineRule="auto"/>
      </w:pPr>
      <w:r>
        <w:rPr>
          <w:rFonts w:ascii="Calibri" w:hAnsi="Calibri"/>
          <w:b/>
          <w:color w:val="1F4E79"/>
          <w:sz w:val="22"/>
        </w:rPr>
        <w:t xml:space="preserve">• Actuarial Insights: </w:t>
      </w:r>
      <w:r>
        <w:rPr>
          <w:rFonts w:ascii="Calibri" w:hAnsi="Calibri"/>
          <w:i w:val="0"/>
          <w:color w:val="333333"/>
          <w:sz w:val="22"/>
        </w:rPr>
        <w:t>Quantify the isolated marginal contribution (regression coefficients) of each factor on medical costs to provide actionable insights for insurance risk assessment.</w:t>
      </w:r>
    </w:p>
    <w:p>
      <w:pPr>
        <w:keepNext/>
        <w:spacing w:before="280" w:after="120"/>
      </w:pPr>
      <w:r>
        <w:rPr>
          <w:rFonts w:ascii="Calibri" w:hAnsi="Calibri"/>
          <w:b/>
          <w:color w:val="1F4E79"/>
          <w:sz w:val="28"/>
        </w:rPr>
        <w:t>3. Dataset Architecture &amp; Feature Dictionary</w:t>
      </w:r>
    </w:p>
    <w:p>
      <w:pPr>
        <w:spacing w:before="0" w:after="120" w:line="276" w:lineRule="auto"/>
      </w:pPr>
      <w:r>
        <w:rPr>
          <w:rFonts w:ascii="Calibri" w:hAnsi="Calibri"/>
          <w:i w:val="0"/>
          <w:color w:val="333333"/>
          <w:sz w:val="22"/>
        </w:rPr>
        <w:t>The dataset is sourced from Kaggle ('mirichoi0218/insurance') and comprises 1,338 patient records across 7 distinct attributes without any missing or null values.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1F4E7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20"/>
              </w:rPr>
              <w:t>Attribute</w:t>
            </w:r>
          </w:p>
        </w:tc>
        <w:tc>
          <w:tcPr>
            <w:tcW w:type="dxa" w:w="2340"/>
            <w:shd w:fill="1F4E7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20"/>
              </w:rPr>
              <w:t>Data Type</w:t>
            </w:r>
          </w:p>
        </w:tc>
        <w:tc>
          <w:tcPr>
            <w:tcW w:type="dxa" w:w="2340"/>
            <w:shd w:fill="1F4E7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20"/>
              </w:rPr>
              <w:t>Role</w:t>
            </w:r>
          </w:p>
        </w:tc>
        <w:tc>
          <w:tcPr>
            <w:tcW w:type="dxa" w:w="2340"/>
            <w:shd w:fill="1F4E7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20"/>
              </w:rPr>
              <w:t>Description / Value Range</w:t>
            </w:r>
          </w:p>
        </w:tc>
      </w:tr>
      <w:tr>
        <w:tc>
          <w:tcPr>
            <w:tcW w:type="dxa" w:w="2340"/>
            <w:shd w:fill="F2F5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age</w:t>
            </w:r>
          </w:p>
        </w:tc>
        <w:tc>
          <w:tcPr>
            <w:tcW w:type="dxa" w:w="2340"/>
            <w:shd w:fill="F2F5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Integer</w:t>
            </w:r>
          </w:p>
        </w:tc>
        <w:tc>
          <w:tcPr>
            <w:tcW w:type="dxa" w:w="2340"/>
            <w:shd w:fill="F2F5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Feature (Independent)</w:t>
            </w:r>
          </w:p>
        </w:tc>
        <w:tc>
          <w:tcPr>
            <w:tcW w:type="dxa" w:w="2340"/>
            <w:shd w:fill="F2F5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Age of the primary beneficiary (18 to 64 years).</w:t>
            </w:r>
          </w:p>
        </w:tc>
      </w:tr>
      <w:tr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sex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Categorical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Feature (Independent)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Insurance contractor gender ('female', 'male').</w:t>
            </w:r>
          </w:p>
        </w:tc>
      </w:tr>
      <w:tr>
        <w:tc>
          <w:tcPr>
            <w:tcW w:type="dxa" w:w="2340"/>
            <w:shd w:fill="F2F5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bmi</w:t>
            </w:r>
          </w:p>
        </w:tc>
        <w:tc>
          <w:tcPr>
            <w:tcW w:type="dxa" w:w="2340"/>
            <w:shd w:fill="F2F5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Float</w:t>
            </w:r>
          </w:p>
        </w:tc>
        <w:tc>
          <w:tcPr>
            <w:tcW w:type="dxa" w:w="2340"/>
            <w:shd w:fill="F2F5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Feature (Independent)</w:t>
            </w:r>
          </w:p>
        </w:tc>
        <w:tc>
          <w:tcPr>
            <w:tcW w:type="dxa" w:w="2340"/>
            <w:shd w:fill="F2F5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Body mass index (kg/m²), range: 15.96 to 53.13.</w:t>
            </w:r>
          </w:p>
        </w:tc>
      </w:tr>
      <w:tr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children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Integer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Feature (Independent)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Number of children/dependents covered (0 to 5).</w:t>
            </w:r>
          </w:p>
        </w:tc>
      </w:tr>
      <w:tr>
        <w:tc>
          <w:tcPr>
            <w:tcW w:type="dxa" w:w="2340"/>
            <w:shd w:fill="F2F5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smoker</w:t>
            </w:r>
          </w:p>
        </w:tc>
        <w:tc>
          <w:tcPr>
            <w:tcW w:type="dxa" w:w="2340"/>
            <w:shd w:fill="F2F5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Categorical</w:t>
            </w:r>
          </w:p>
        </w:tc>
        <w:tc>
          <w:tcPr>
            <w:tcW w:type="dxa" w:w="2340"/>
            <w:shd w:fill="F2F5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Feature (Independent)</w:t>
            </w:r>
          </w:p>
        </w:tc>
        <w:tc>
          <w:tcPr>
            <w:tcW w:type="dxa" w:w="2340"/>
            <w:shd w:fill="F2F5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Beneficiary smoking habit ('yes', 'no').</w:t>
            </w:r>
          </w:p>
        </w:tc>
      </w:tr>
      <w:tr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region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Categorical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Feature (Independent)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Residential area in the US (northeast, northwest, southeast, southwest).</w:t>
            </w:r>
          </w:p>
        </w:tc>
      </w:tr>
      <w:tr>
        <w:tc>
          <w:tcPr>
            <w:tcW w:type="dxa" w:w="2340"/>
            <w:shd w:fill="F2F5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charges</w:t>
            </w:r>
          </w:p>
        </w:tc>
        <w:tc>
          <w:tcPr>
            <w:tcW w:type="dxa" w:w="2340"/>
            <w:shd w:fill="F2F5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Float</w:t>
            </w:r>
          </w:p>
        </w:tc>
        <w:tc>
          <w:tcPr>
            <w:tcW w:type="dxa" w:w="2340"/>
            <w:shd w:fill="F2F5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Target (Dependent)</w:t>
            </w:r>
          </w:p>
        </w:tc>
        <w:tc>
          <w:tcPr>
            <w:tcW w:type="dxa" w:w="2340"/>
            <w:shd w:fill="F2F5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Individual medical costs billed by health insurance ($1,121.87 to $63,770.43).</w:t>
            </w:r>
          </w:p>
        </w:tc>
      </w:tr>
    </w:tbl>
    <w:p>
      <w:pPr>
        <w:spacing w:after="120"/>
      </w:pPr>
    </w:p>
    <w:p>
      <w:pPr>
        <w:keepNext/>
        <w:spacing w:before="280" w:after="120"/>
      </w:pPr>
      <w:r>
        <w:rPr>
          <w:rFonts w:ascii="Calibri" w:hAnsi="Calibri"/>
          <w:b/>
          <w:color w:val="1F4E79"/>
          <w:sz w:val="28"/>
        </w:rPr>
        <w:t>4. Data Preprocessing &amp; Categorical Encoding</w:t>
      </w:r>
    </w:p>
    <w:p>
      <w:pPr>
        <w:spacing w:before="0" w:after="120" w:line="276" w:lineRule="auto"/>
      </w:pPr>
      <w:r>
        <w:rPr>
          <w:rFonts w:ascii="Calibri" w:hAnsi="Calibri"/>
          <w:i w:val="0"/>
          <w:color w:val="333333"/>
          <w:sz w:val="22"/>
        </w:rPr>
        <w:t>Linear regression algorithms operate strictly on numerical feature spaces. Preprocessing was executed in the following sequential pipeline:</w:t>
      </w:r>
    </w:p>
    <w:p>
      <w:pPr>
        <w:spacing w:before="0" w:after="120" w:line="276" w:lineRule="auto"/>
      </w:pPr>
      <w:r>
        <w:rPr>
          <w:rFonts w:ascii="Calibri" w:hAnsi="Calibri"/>
          <w:b/>
          <w:color w:val="1F4E79"/>
          <w:sz w:val="22"/>
        </w:rPr>
        <w:t xml:space="preserve">1. Integrity Audit: </w:t>
      </w:r>
      <w:r>
        <w:rPr>
          <w:rFonts w:ascii="Calibri" w:hAnsi="Calibri"/>
          <w:i w:val="0"/>
          <w:color w:val="333333"/>
          <w:sz w:val="22"/>
        </w:rPr>
        <w:t>Verification confirmed 0 null or missing entries across all 1,338 records.</w:t>
      </w:r>
    </w:p>
    <w:p>
      <w:pPr>
        <w:spacing w:before="0" w:after="120" w:line="276" w:lineRule="auto"/>
      </w:pPr>
      <w:r>
        <w:rPr>
          <w:rFonts w:ascii="Calibri" w:hAnsi="Calibri"/>
          <w:b/>
          <w:color w:val="1F4E79"/>
          <w:sz w:val="22"/>
        </w:rPr>
        <w:t xml:space="preserve">2. Binary Encoding: </w:t>
      </w:r>
      <w:r>
        <w:rPr>
          <w:rFonts w:ascii="Calibri" w:hAnsi="Calibri"/>
          <w:i w:val="0"/>
          <w:color w:val="333333"/>
          <w:sz w:val="22"/>
        </w:rPr>
        <w:t>Binary features were transformed using map functions: 'sex' mapped to female=1, male=0; 'smoker' mapped to yes=1, no=0.</w:t>
      </w:r>
    </w:p>
    <w:p>
      <w:pPr>
        <w:spacing w:before="0" w:after="120" w:line="276" w:lineRule="auto"/>
      </w:pPr>
      <w:r>
        <w:rPr>
          <w:rFonts w:ascii="Calibri" w:hAnsi="Calibri"/>
          <w:b/>
          <w:color w:val="1F4E79"/>
          <w:sz w:val="22"/>
        </w:rPr>
        <w:t xml:space="preserve">3. One-Hot Encoding: </w:t>
      </w:r>
      <w:r>
        <w:rPr>
          <w:rFonts w:ascii="Calibri" w:hAnsi="Calibri"/>
          <w:i w:val="0"/>
          <w:color w:val="333333"/>
          <w:sz w:val="22"/>
        </w:rPr>
        <w:t>The multi-class nominal feature 'region' was transformed into dummy variables using one-hot encoding with 'drop_first=True'. This generated 3 indicator columns ('region_northwest', 'region_southeast', 'region_southwest') while utilizing 'northeast' as the baseline reference category to prevent multicollinearity (the Dummy Variable Trap).</w:t>
      </w:r>
    </w:p>
    <w:p>
      <w:pPr>
        <w:spacing w:before="0" w:after="120" w:line="276" w:lineRule="auto"/>
      </w:pPr>
      <w:r>
        <w:rPr>
          <w:rFonts w:ascii="Calibri" w:hAnsi="Calibri"/>
          <w:b/>
          <w:color w:val="1F4E79"/>
          <w:sz w:val="22"/>
        </w:rPr>
        <w:t xml:space="preserve">4. Data Serialization: </w:t>
      </w:r>
      <w:r>
        <w:rPr>
          <w:rFonts w:ascii="Calibri" w:hAnsi="Calibri"/>
          <w:i w:val="0"/>
          <w:color w:val="333333"/>
          <w:sz w:val="22"/>
        </w:rPr>
        <w:t>The processed data matrix (8 features + 1 target) was saved as 'insurance_cleaned.csv' for reproducible modeling.</w:t>
      </w:r>
    </w:p>
    <w:p>
      <w:pPr>
        <w:keepNext/>
        <w:spacing w:before="280" w:after="120"/>
      </w:pPr>
      <w:r>
        <w:rPr>
          <w:rFonts w:ascii="Calibri" w:hAnsi="Calibri"/>
          <w:b/>
          <w:color w:val="1F4E79"/>
          <w:sz w:val="28"/>
        </w:rPr>
        <w:t>5. Methodology: Multiple Linear Regression</w:t>
      </w:r>
    </w:p>
    <w:p>
      <w:pPr>
        <w:spacing w:before="0" w:after="120" w:line="276" w:lineRule="auto"/>
      </w:pPr>
      <w:r>
        <w:rPr>
          <w:rFonts w:ascii="Calibri" w:hAnsi="Calibri"/>
          <w:i w:val="0"/>
          <w:color w:val="333333"/>
          <w:sz w:val="22"/>
        </w:rPr>
        <w:t>Multiple Linear Regression (MLR) models the relationship between a continuous dependent variable (y) and two or more independent explanatory variables (X_1, X_2, ..., X_p).</w:t>
      </w:r>
    </w:p>
    <w:p>
      <w:pPr>
        <w:spacing w:before="0" w:after="120" w:line="276" w:lineRule="auto"/>
      </w:pPr>
      <w:r>
        <w:rPr>
          <w:rFonts w:ascii="Calibri" w:hAnsi="Calibri"/>
          <w:i w:val="0"/>
          <w:color w:val="333333"/>
          <w:sz w:val="22"/>
        </w:rPr>
        <w:t>The mathematical formulation is expressed as:</w:t>
      </w:r>
    </w:p>
    <w:p>
      <w:pPr>
        <w:spacing w:before="0" w:after="120" w:line="276" w:lineRule="auto"/>
      </w:pPr>
      <w:r>
        <w:rPr>
          <w:rFonts w:ascii="Calibri" w:hAnsi="Calibri"/>
          <w:i/>
          <w:color w:val="333333"/>
          <w:sz w:val="22"/>
        </w:rPr>
        <w:t>y = β₀ + β₁X₁ + β₂X₂ + β₃X₃ + β₄X₄ + β₅X₅ + β₆X₆ + β₇X₇ + β₈X₈ + ε</w:t>
      </w:r>
    </w:p>
    <w:p>
      <w:pPr>
        <w:spacing w:before="0" w:after="120" w:line="276" w:lineRule="auto"/>
      </w:pPr>
      <w:r>
        <w:rPr>
          <w:rFonts w:ascii="Calibri" w:hAnsi="Calibri"/>
          <w:i w:val="0"/>
          <w:color w:val="333333"/>
          <w:sz w:val="22"/>
        </w:rPr>
        <w:t>Where β₀ is the intercept (baseline cost), β_i represents the partial regression coefficient for feature X_i (the change in y per unit change in X_i, holding all other features constant), and ε is the random error term.</w:t>
      </w:r>
    </w:p>
    <w:p>
      <w:pPr>
        <w:spacing w:before="0" w:after="120" w:line="276" w:lineRule="auto"/>
      </w:pPr>
      <w:r>
        <w:rPr>
          <w:rFonts w:ascii="Calibri" w:hAnsi="Calibri"/>
          <w:i w:val="0"/>
          <w:color w:val="333333"/>
          <w:sz w:val="22"/>
        </w:rPr>
        <w:t>The model parameters are computed via Ordinary Least Squares (OLS), minimizing the Residual Sum of Squares (RSS):</w:t>
      </w:r>
    </w:p>
    <w:p>
      <w:pPr>
        <w:spacing w:before="0" w:after="120" w:line="276" w:lineRule="auto"/>
      </w:pPr>
      <w:r>
        <w:rPr>
          <w:rFonts w:ascii="Calibri" w:hAnsi="Calibri"/>
          <w:i/>
          <w:color w:val="333333"/>
          <w:sz w:val="22"/>
        </w:rPr>
        <w:t>RSS = Σ (y_i - ŷ_i)²</w:t>
      </w:r>
    </w:p>
    <w:p>
      <w:pPr>
        <w:keepNext/>
        <w:spacing w:before="280" w:after="120"/>
      </w:pPr>
      <w:r>
        <w:rPr>
          <w:rFonts w:ascii="Calibri" w:hAnsi="Calibri"/>
          <w:b/>
          <w:color w:val="1F4E79"/>
          <w:sz w:val="28"/>
        </w:rPr>
        <w:t>6. Model Training &amp; Parameter Estimation</w:t>
      </w:r>
    </w:p>
    <w:p>
      <w:pPr>
        <w:spacing w:before="0" w:after="120" w:line="276" w:lineRule="auto"/>
      </w:pPr>
      <w:r>
        <w:rPr>
          <w:rFonts w:ascii="Calibri" w:hAnsi="Calibri"/>
          <w:i w:val="0"/>
          <w:color w:val="333333"/>
          <w:sz w:val="22"/>
        </w:rPr>
        <w:t>The dataset was divided into an 80% training set (1,070 samples) and a 20% testing set (268 samples) with random_state=42 for deterministic evaluation.</w:t>
      </w:r>
    </w:p>
    <w:p>
      <w:pPr>
        <w:spacing w:before="0" w:after="120" w:line="276" w:lineRule="auto"/>
      </w:pPr>
      <w:r>
        <w:rPr>
          <w:rFonts w:ascii="Calibri" w:hAnsi="Calibri"/>
          <w:i w:val="0"/>
          <w:color w:val="333333"/>
          <w:sz w:val="22"/>
        </w:rPr>
        <w:t>The estimated regression coefficients derived from the training set are presented below: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1F4E7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20"/>
              </w:rPr>
              <w:t>Variable Name</w:t>
            </w:r>
          </w:p>
        </w:tc>
        <w:tc>
          <w:tcPr>
            <w:tcW w:type="dxa" w:w="3120"/>
            <w:shd w:fill="1F4E7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20"/>
              </w:rPr>
              <w:t>Coefficient (Beta)</w:t>
            </w:r>
          </w:p>
        </w:tc>
        <w:tc>
          <w:tcPr>
            <w:tcW w:type="dxa" w:w="3120"/>
            <w:shd w:fill="1F4E7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20"/>
              </w:rPr>
              <w:t>Actuarial Interpretation</w:t>
            </w:r>
          </w:p>
        </w:tc>
      </w:tr>
      <w:tr>
        <w:tc>
          <w:tcPr>
            <w:tcW w:type="dxa" w:w="3120"/>
            <w:shd w:fill="F2F5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Intercept (β₀)</w:t>
            </w:r>
          </w:p>
        </w:tc>
        <w:tc>
          <w:tcPr>
            <w:tcW w:type="dxa" w:w="3120"/>
            <w:shd w:fill="F2F5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-$11,938.53</w:t>
            </w:r>
          </w:p>
        </w:tc>
        <w:tc>
          <w:tcPr>
            <w:tcW w:type="dxa" w:w="3120"/>
            <w:shd w:fill="F2F5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Baseline adjustment when all predictor values are zero.</w:t>
            </w:r>
          </w:p>
        </w:tc>
      </w:tr>
      <w:tr>
        <w:tc>
          <w:tcPr>
            <w:tcW w:type="dxa" w:w="312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smoker (β_smoker)</w:t>
            </w:r>
          </w:p>
        </w:tc>
        <w:tc>
          <w:tcPr>
            <w:tcW w:type="dxa" w:w="312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+$23,651.13</w:t>
            </w:r>
          </w:p>
        </w:tc>
        <w:tc>
          <w:tcPr>
            <w:tcW w:type="dxa" w:w="312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Smoking status adds ~$23,651 in expected annual charges (Primary Risk Factor).</w:t>
            </w:r>
          </w:p>
        </w:tc>
      </w:tr>
      <w:tr>
        <w:tc>
          <w:tcPr>
            <w:tcW w:type="dxa" w:w="3120"/>
            <w:shd w:fill="F2F5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age (β_age)</w:t>
            </w:r>
          </w:p>
        </w:tc>
        <w:tc>
          <w:tcPr>
            <w:tcW w:type="dxa" w:w="3120"/>
            <w:shd w:fill="F2F5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+$256.98</w:t>
            </w:r>
          </w:p>
        </w:tc>
        <w:tc>
          <w:tcPr>
            <w:tcW w:type="dxa" w:w="3120"/>
            <w:shd w:fill="F2F5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Each additional year of age increases annual charges by ~$257.</w:t>
            </w:r>
          </w:p>
        </w:tc>
      </w:tr>
      <w:tr>
        <w:tc>
          <w:tcPr>
            <w:tcW w:type="dxa" w:w="312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bmi (β_bmi)</w:t>
            </w:r>
          </w:p>
        </w:tc>
        <w:tc>
          <w:tcPr>
            <w:tcW w:type="dxa" w:w="312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+$337.09</w:t>
            </w:r>
          </w:p>
        </w:tc>
        <w:tc>
          <w:tcPr>
            <w:tcW w:type="dxa" w:w="312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Each unit increase in BMI adds ~$337 in expected annual charges.</w:t>
            </w:r>
          </w:p>
        </w:tc>
      </w:tr>
      <w:tr>
        <w:tc>
          <w:tcPr>
            <w:tcW w:type="dxa" w:w="3120"/>
            <w:shd w:fill="F2F5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children (β_children)</w:t>
            </w:r>
          </w:p>
        </w:tc>
        <w:tc>
          <w:tcPr>
            <w:tcW w:type="dxa" w:w="3120"/>
            <w:shd w:fill="F2F5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+$425.28</w:t>
            </w:r>
          </w:p>
        </w:tc>
        <w:tc>
          <w:tcPr>
            <w:tcW w:type="dxa" w:w="3120"/>
            <w:shd w:fill="F2F5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Each dependent child adds ~$425 in expected annual charges.</w:t>
            </w:r>
          </w:p>
        </w:tc>
      </w:tr>
      <w:tr>
        <w:tc>
          <w:tcPr>
            <w:tcW w:type="dxa" w:w="312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sex (β_sex)</w:t>
            </w:r>
          </w:p>
        </w:tc>
        <w:tc>
          <w:tcPr>
            <w:tcW w:type="dxa" w:w="312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+$18.59</w:t>
            </w:r>
          </w:p>
        </w:tc>
        <w:tc>
          <w:tcPr>
            <w:tcW w:type="dxa" w:w="312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Marginal difference between genders, holding health factors constant.</w:t>
            </w:r>
          </w:p>
        </w:tc>
      </w:tr>
      <w:tr>
        <w:tc>
          <w:tcPr>
            <w:tcW w:type="dxa" w:w="3120"/>
            <w:shd w:fill="F2F5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region_northwest (β_nw)</w:t>
            </w:r>
          </w:p>
        </w:tc>
        <w:tc>
          <w:tcPr>
            <w:tcW w:type="dxa" w:w="3120"/>
            <w:shd w:fill="F2F5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-$370.68</w:t>
            </w:r>
          </w:p>
        </w:tc>
        <w:tc>
          <w:tcPr>
            <w:tcW w:type="dxa" w:w="3120"/>
            <w:shd w:fill="F2F5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Cost relative to baseline Northeast region.</w:t>
            </w:r>
          </w:p>
        </w:tc>
      </w:tr>
      <w:tr>
        <w:tc>
          <w:tcPr>
            <w:tcW w:type="dxa" w:w="312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region_southeast (β_se)</w:t>
            </w:r>
          </w:p>
        </w:tc>
        <w:tc>
          <w:tcPr>
            <w:tcW w:type="dxa" w:w="312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-$657.86</w:t>
            </w:r>
          </w:p>
        </w:tc>
        <w:tc>
          <w:tcPr>
            <w:tcW w:type="dxa" w:w="312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Cost relative to baseline Northeast region.</w:t>
            </w:r>
          </w:p>
        </w:tc>
      </w:tr>
    </w:tbl>
    <w:p>
      <w:pPr>
        <w:spacing w:after="120"/>
      </w:pPr>
    </w:p>
    <w:p>
      <w:pPr>
        <w:keepNext/>
        <w:spacing w:before="280" w:after="120"/>
      </w:pPr>
      <w:r>
        <w:rPr>
          <w:rFonts w:ascii="Calibri" w:hAnsi="Calibri"/>
          <w:b/>
          <w:color w:val="1F4E79"/>
          <w:sz w:val="28"/>
        </w:rPr>
        <w:t>7. Model Performance Evaluation</w:t>
      </w:r>
    </w:p>
    <w:p>
      <w:pPr>
        <w:spacing w:before="0" w:after="120" w:line="276" w:lineRule="auto"/>
      </w:pPr>
      <w:r>
        <w:rPr>
          <w:rFonts w:ascii="Calibri" w:hAnsi="Calibri"/>
          <w:i w:val="0"/>
          <w:color w:val="333333"/>
          <w:sz w:val="22"/>
        </w:rPr>
        <w:t>Model accuracy and error characteristics were evaluated on the test partition using multiple industry-standard regression metrics: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1F4E7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20"/>
              </w:rPr>
              <w:t>Metric</w:t>
            </w:r>
          </w:p>
        </w:tc>
        <w:tc>
          <w:tcPr>
            <w:tcW w:type="dxa" w:w="3120"/>
            <w:shd w:fill="1F4E7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20"/>
              </w:rPr>
              <w:t>Numerical Value</w:t>
            </w:r>
          </w:p>
        </w:tc>
        <w:tc>
          <w:tcPr>
            <w:tcW w:type="dxa" w:w="3120"/>
            <w:shd w:fill="1F4E7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20"/>
              </w:rPr>
              <w:t>Significance</w:t>
            </w:r>
          </w:p>
        </w:tc>
      </w:tr>
      <w:tr>
        <w:tc>
          <w:tcPr>
            <w:tcW w:type="dxa" w:w="3120"/>
            <w:shd w:fill="F2F5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Coefficient of Determination (R² - Test)</w:t>
            </w:r>
          </w:p>
        </w:tc>
        <w:tc>
          <w:tcPr>
            <w:tcW w:type="dxa" w:w="3120"/>
            <w:shd w:fill="F2F5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0.7836 (78.36%)</w:t>
            </w:r>
          </w:p>
        </w:tc>
        <w:tc>
          <w:tcPr>
            <w:tcW w:type="dxa" w:w="3120"/>
            <w:shd w:fill="F2F5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High explanatory power; captures ~78.4% of cost variance.</w:t>
            </w:r>
          </w:p>
        </w:tc>
      </w:tr>
      <w:tr>
        <w:tc>
          <w:tcPr>
            <w:tcW w:type="dxa" w:w="312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Coefficient of Determination (R² - Train)</w:t>
            </w:r>
          </w:p>
        </w:tc>
        <w:tc>
          <w:tcPr>
            <w:tcW w:type="dxa" w:w="312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0.7417 (74.17%)</w:t>
            </w:r>
          </w:p>
        </w:tc>
        <w:tc>
          <w:tcPr>
            <w:tcW w:type="dxa" w:w="312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Indicates consistent generalization without overfitting.</w:t>
            </w:r>
          </w:p>
        </w:tc>
      </w:tr>
      <w:tr>
        <w:tc>
          <w:tcPr>
            <w:tcW w:type="dxa" w:w="3120"/>
            <w:shd w:fill="F2F5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Mean Absolute Error (MAE)</w:t>
            </w:r>
          </w:p>
        </w:tc>
        <w:tc>
          <w:tcPr>
            <w:tcW w:type="dxa" w:w="3120"/>
            <w:shd w:fill="F2F5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$4,181.19</w:t>
            </w:r>
          </w:p>
        </w:tc>
        <w:tc>
          <w:tcPr>
            <w:tcW w:type="dxa" w:w="3120"/>
            <w:shd w:fill="F2F5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Average absolute discrepancy per individual prediction.</w:t>
            </w:r>
          </w:p>
        </w:tc>
      </w:tr>
      <w:tr>
        <w:tc>
          <w:tcPr>
            <w:tcW w:type="dxa" w:w="312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Mean Squared Error (MSE)</w:t>
            </w:r>
          </w:p>
        </w:tc>
        <w:tc>
          <w:tcPr>
            <w:tcW w:type="dxa" w:w="312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33,596,915.85</w:t>
            </w:r>
          </w:p>
        </w:tc>
        <w:tc>
          <w:tcPr>
            <w:tcW w:type="dxa" w:w="312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Mean of squared prediction residuals.</w:t>
            </w:r>
          </w:p>
        </w:tc>
      </w:tr>
      <w:tr>
        <w:tc>
          <w:tcPr>
            <w:tcW w:type="dxa" w:w="3120"/>
            <w:shd w:fill="F2F5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Root Mean Squared Error (RMSE)</w:t>
            </w:r>
          </w:p>
        </w:tc>
        <w:tc>
          <w:tcPr>
            <w:tcW w:type="dxa" w:w="3120"/>
            <w:shd w:fill="F2F5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$5,796.28</w:t>
            </w:r>
          </w:p>
        </w:tc>
        <w:tc>
          <w:tcPr>
            <w:tcW w:type="dxa" w:w="3120"/>
            <w:shd w:fill="F2F5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Standard error of the estimate expressed in dollars ($).</w:t>
            </w:r>
          </w:p>
        </w:tc>
      </w:tr>
    </w:tbl>
    <w:p>
      <w:pPr>
        <w:spacing w:after="120"/>
      </w:pPr>
    </w:p>
    <w:p>
      <w:pPr>
        <w:keepNext/>
        <w:spacing w:before="280" w:after="120"/>
      </w:pPr>
      <w:r>
        <w:rPr>
          <w:rFonts w:ascii="Calibri" w:hAnsi="Calibri"/>
          <w:b/>
          <w:color w:val="1F4E79"/>
          <w:sz w:val="28"/>
        </w:rPr>
        <w:t>8. Key Insights &amp; Actuarial Implications</w:t>
      </w:r>
    </w:p>
    <w:p>
      <w:pPr>
        <w:spacing w:before="0" w:after="120" w:line="276" w:lineRule="auto"/>
      </w:pPr>
      <w:r>
        <w:rPr>
          <w:rFonts w:ascii="Calibri" w:hAnsi="Calibri"/>
          <w:b/>
          <w:color w:val="1F4E79"/>
          <w:sz w:val="22"/>
        </w:rPr>
        <w:t xml:space="preserve">1. Dominance of Tobacco Consumption: </w:t>
      </w:r>
      <w:r>
        <w:rPr>
          <w:rFonts w:ascii="Calibri" w:hAnsi="Calibri"/>
          <w:i w:val="0"/>
          <w:color w:val="333333"/>
          <w:sz w:val="22"/>
        </w:rPr>
        <w:t>Smokers incur an enormous financial premium (+$23,651/year), outweighing all other variables combined. Insurance risk pools must tier premiums aggressively around smoking cessation.</w:t>
      </w:r>
    </w:p>
    <w:p>
      <w:pPr>
        <w:spacing w:before="0" w:after="120" w:line="276" w:lineRule="auto"/>
      </w:pPr>
      <w:r>
        <w:rPr>
          <w:rFonts w:ascii="Calibri" w:hAnsi="Calibri"/>
          <w:b/>
          <w:color w:val="1F4E79"/>
          <w:sz w:val="22"/>
        </w:rPr>
        <w:t xml:space="preserve">2. Compounding Effect of Obesity and Smoking: </w:t>
      </w:r>
      <w:r>
        <w:rPr>
          <w:rFonts w:ascii="Calibri" w:hAnsi="Calibri"/>
          <w:i w:val="0"/>
          <w:color w:val="333333"/>
          <w:sz w:val="22"/>
        </w:rPr>
        <w:t>While higher BMI increases charges moderately for non-smokers, the interaction between high BMI (&gt;30) and smoking produces catastrophic claims (&gt; $40,000/year).</w:t>
      </w:r>
    </w:p>
    <w:p>
      <w:pPr>
        <w:spacing w:before="0" w:after="120" w:line="276" w:lineRule="auto"/>
      </w:pPr>
      <w:r>
        <w:rPr>
          <w:rFonts w:ascii="Calibri" w:hAnsi="Calibri"/>
          <w:b/>
          <w:color w:val="1F4E79"/>
          <w:sz w:val="22"/>
        </w:rPr>
        <w:t xml:space="preserve">3. Linear Aging Gradient: </w:t>
      </w:r>
      <w:r>
        <w:rPr>
          <w:rFonts w:ascii="Calibri" w:hAnsi="Calibri"/>
          <w:i w:val="0"/>
          <w:color w:val="333333"/>
          <w:sz w:val="22"/>
        </w:rPr>
        <w:t>Age exhibits a steady, linear progression of ~$257 per year of life, consistent with cumulative health degradation models in actuarial tables.</w:t>
      </w:r>
    </w:p>
    <w:p>
      <w:pPr>
        <w:spacing w:before="0" w:after="120" w:line="276" w:lineRule="auto"/>
      </w:pPr>
      <w:r>
        <w:rPr>
          <w:rFonts w:ascii="Calibri" w:hAnsi="Calibri"/>
          <w:b/>
          <w:color w:val="1F4E79"/>
          <w:sz w:val="22"/>
        </w:rPr>
        <w:t xml:space="preserve">4. Minimal Regional/Gender Variance: </w:t>
      </w:r>
      <w:r>
        <w:rPr>
          <w:rFonts w:ascii="Calibri" w:hAnsi="Calibri"/>
          <w:i w:val="0"/>
          <w:color w:val="333333"/>
          <w:sz w:val="22"/>
        </w:rPr>
        <w:t>Geographic location and gender contribute minor marginal variance compared to lifestyle factors.</w:t>
      </w:r>
    </w:p>
    <w:p>
      <w:pPr>
        <w:keepNext/>
        <w:spacing w:before="280" w:after="120"/>
      </w:pPr>
      <w:r>
        <w:rPr>
          <w:rFonts w:ascii="Calibri" w:hAnsi="Calibri"/>
          <w:b/>
          <w:color w:val="1F4E79"/>
          <w:sz w:val="28"/>
        </w:rPr>
        <w:t>9. Limitations &amp; Future Scope</w:t>
      </w:r>
    </w:p>
    <w:p>
      <w:pPr>
        <w:spacing w:before="0" w:after="120" w:line="276" w:lineRule="auto"/>
      </w:pPr>
      <w:r>
        <w:rPr>
          <w:rFonts w:ascii="Calibri" w:hAnsi="Calibri"/>
          <w:b/>
          <w:color w:val="1F4E79"/>
          <w:sz w:val="22"/>
        </w:rPr>
        <w:t xml:space="preserve">• Non-Linear Interactions: </w:t>
      </w:r>
      <w:r>
        <w:rPr>
          <w:rFonts w:ascii="Calibri" w:hAnsi="Calibri"/>
          <w:i w:val="0"/>
          <w:color w:val="333333"/>
          <w:sz w:val="22"/>
        </w:rPr>
        <w:t>The standard MLR model assumes purely additive linear relationships. In reality, non-linear interaction terms (e.g., BMI × Smoker interaction) exist. Incorporating Polynomial Feature Expansion or Interaction Terms would elevate R² above 84%.</w:t>
      </w:r>
    </w:p>
    <w:p>
      <w:pPr>
        <w:spacing w:before="0" w:after="120" w:line="276" w:lineRule="auto"/>
      </w:pPr>
      <w:r>
        <w:rPr>
          <w:rFonts w:ascii="Calibri" w:hAnsi="Calibri"/>
          <w:b/>
          <w:color w:val="1F4E79"/>
          <w:sz w:val="22"/>
        </w:rPr>
        <w:t xml:space="preserve">• Non-Parametric Modeling: </w:t>
      </w:r>
      <w:r>
        <w:rPr>
          <w:rFonts w:ascii="Calibri" w:hAnsi="Calibri"/>
          <w:i w:val="0"/>
          <w:color w:val="333333"/>
          <w:sz w:val="22"/>
        </w:rPr>
        <w:t>Tree-based ensembles (Random Forest Regressor, Gradient Boosting, XGBoost) can naturally model non-linear boundaries and complex health thresholds.</w:t>
      </w:r>
    </w:p>
    <w:p>
      <w:pPr>
        <w:spacing w:before="0" w:after="120" w:line="276" w:lineRule="auto"/>
      </w:pPr>
      <w:r>
        <w:rPr>
          <w:rFonts w:ascii="Calibri" w:hAnsi="Calibri"/>
          <w:b/>
          <w:color w:val="1F4E79"/>
          <w:sz w:val="22"/>
        </w:rPr>
        <w:t xml:space="preserve">• Feature Enrichment: </w:t>
      </w:r>
      <w:r>
        <w:rPr>
          <w:rFonts w:ascii="Calibri" w:hAnsi="Calibri"/>
          <w:i w:val="0"/>
          <w:color w:val="333333"/>
          <w:sz w:val="22"/>
        </w:rPr>
        <w:t>Incorporating pre-existing medical conditions (hypertension, diabetes), blood pressure, and cholesterol markers would provide deeper clinical underwriting precision.</w:t>
      </w:r>
    </w:p>
    <w:p>
      <w:pPr>
        <w:keepNext/>
        <w:spacing w:before="280" w:after="120"/>
      </w:pPr>
      <w:r>
        <w:rPr>
          <w:rFonts w:ascii="Calibri" w:hAnsi="Calibri"/>
          <w:b/>
          <w:color w:val="1F4E79"/>
          <w:sz w:val="28"/>
        </w:rPr>
        <w:t>10. References</w:t>
      </w:r>
    </w:p>
    <w:p>
      <w:pPr>
        <w:spacing w:before="0" w:after="120" w:line="276" w:lineRule="auto"/>
      </w:pPr>
      <w:r>
        <w:rPr>
          <w:rFonts w:ascii="Calibri" w:hAnsi="Calibri"/>
          <w:i w:val="0"/>
          <w:color w:val="333333"/>
          <w:sz w:val="22"/>
        </w:rPr>
        <w:t>1. Choi, M. (2018). Medical Cost Personal Datasets. Kaggle: https://www.kaggle.com/datasets/mirichoi0218/insurance</w:t>
      </w:r>
    </w:p>
    <w:p>
      <w:pPr>
        <w:spacing w:before="0" w:after="120" w:line="276" w:lineRule="auto"/>
      </w:pPr>
      <w:r>
        <w:rPr>
          <w:rFonts w:ascii="Calibri" w:hAnsi="Calibri"/>
          <w:i w:val="0"/>
          <w:color w:val="333333"/>
          <w:sz w:val="22"/>
        </w:rPr>
        <w:t>2. James, G., Witten, D., Hastie, T., &amp; Tibshirani, R. (2013). An Introduction to Statistical Learning: with Applications in R. Springer.</w:t>
      </w:r>
    </w:p>
    <w:p>
      <w:pPr>
        <w:spacing w:before="0" w:after="120" w:line="276" w:lineRule="auto"/>
      </w:pPr>
      <w:r>
        <w:rPr>
          <w:rFonts w:ascii="Calibri" w:hAnsi="Calibri"/>
          <w:i w:val="0"/>
          <w:color w:val="333333"/>
          <w:sz w:val="22"/>
        </w:rPr>
        <w:t>3. Pedregosa, F., et al. (2011). Scikit-learn: Machine Learning in Python. Journal of Machine Learning Research, 12, 2825-2830.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