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Mancini, F., et al. (2023) pour une revue sur les systèmes multi-énergies </w:t>
      </w:r>
      <w:hyperlink r:id="rId6">
        <w:r w:rsidDel="00000000" w:rsidR="00000000" w:rsidRPr="00000000">
          <w:rPr>
            <w:color w:val="1155cc"/>
            <w:u w:val="single"/>
            <w:rtl w:val="0"/>
          </w:rPr>
          <w:t xml:space="preserve">https://www.sciencedirect.com/science/article/pii/S1359431123019002</w:t>
        </w:r>
      </w:hyperlink>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Li, X., et al. (2023) sur une stratégie d’optimisation multi-niveaux pour les clusters de bâtiments </w:t>
      </w:r>
      <w:hyperlink r:id="rId7">
        <w:r w:rsidDel="00000000" w:rsidR="00000000" w:rsidRPr="00000000">
          <w:rPr>
            <w:color w:val="1155cc"/>
            <w:u w:val="single"/>
            <w:rtl w:val="0"/>
          </w:rPr>
          <w:t xml:space="preserve">https://www.sciencedirect.com/science/article/abs/pii/S0960148122015828</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 X., et al. (2024) évalue la flexibilité agrégée des systèmes multi-énergies, incluant des réseaux dynamiques </w:t>
      </w:r>
      <w:hyperlink r:id="rId8">
        <w:r w:rsidDel="00000000" w:rsidR="00000000" w:rsidRPr="00000000">
          <w:rPr>
            <w:color w:val="1155cc"/>
            <w:u w:val="single"/>
            <w:rtl w:val="0"/>
          </w:rPr>
          <w:t xml:space="preserve">https://www.sciencedirect.com/science/article/abs/pii/S0306261924019482</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Wang, Y., et al. (2024) explore l'optimisation collaborative des stations multi-énergies dans un système énergétique intégré régional, en tenant compte de la réponse à la demande conjointe. Propose un modèle à deux niveaux pour réduire les coûts d'exploitation et lisser la courbe de demande nette, mais ne couvre pas explicitement les échanges interrégionaux. </w:t>
      </w:r>
      <w:hyperlink r:id="rId9">
        <w:r w:rsidDel="00000000" w:rsidR="00000000" w:rsidRPr="00000000">
          <w:rPr>
            <w:color w:val="1155cc"/>
            <w:u w:val="single"/>
            <w:rtl w:val="0"/>
          </w:rPr>
          <w:t xml:space="preserve">https://www.sciencedirect.com/science/article/pii/S0142061523005641</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Bakare, M.S. et al., (2023) examine les défis et solutions pour la gestion de l'énergie côté demande dans les smart grids, incluant la réponse à la demande, les ressources énergétiques distribuées et l'efficacité énergétique. Elle identifie un besoin croissant d'approches intégrées, mais ne traite pas explicitement des échanges interrégionaux. </w:t>
      </w:r>
      <w:hyperlink r:id="rId10">
        <w:r w:rsidDel="00000000" w:rsidR="00000000" w:rsidRPr="00000000">
          <w:rPr>
            <w:color w:val="1155cc"/>
            <w:u w:val="single"/>
            <w:rtl w:val="0"/>
          </w:rPr>
          <w:t xml:space="preserve">https://energyinformatics.springeropen.com/articles/10.1186/s42162-023-00262-7</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Zheng, W. et al., (2024) illustre l'importance du stockage dans des contextes multi-régionaux, mais ne combine pas explicitement la réponse à la demande et les échanges interrégionaux. </w:t>
      </w:r>
      <w:hyperlink r:id="rId11">
        <w:r w:rsidDel="00000000" w:rsidR="00000000" w:rsidRPr="00000000">
          <w:rPr>
            <w:color w:val="1155cc"/>
            <w:u w:val="single"/>
            <w:rtl w:val="0"/>
          </w:rPr>
          <w:t xml:space="preserve">https://academic.oup.com/ijlct/article/doi/10.1093/ijlct/ctad111/7622989</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Ponnaganti, P. et al., (2023) passe en revue les mécanismes de flexibilité apportés par les communautés locales d’énergie. </w:t>
      </w:r>
      <w:hyperlink r:id="rId12">
        <w:r w:rsidDel="00000000" w:rsidR="00000000" w:rsidRPr="00000000">
          <w:rPr>
            <w:color w:val="1155cc"/>
            <w:u w:val="single"/>
            <w:rtl w:val="0"/>
          </w:rPr>
          <w:t xml:space="preserve">https://www.sciencedirect.com/science/article/pii/S2949821X23000212</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Xie, T. et al., (2024) propose un modèle pour les systèmes énergétiques multi-régionaux, en mettant l'accent sur la réponse conjointe à la demande et le stockage partagé afin d'optimiser la planification, réalisant ainsi une complémentarité énergétique entre les régions. </w:t>
      </w:r>
      <w:hyperlink r:id="rId13">
        <w:r w:rsidDel="00000000" w:rsidR="00000000" w:rsidRPr="00000000">
          <w:rPr>
            <w:color w:val="1155cc"/>
            <w:u w:val="single"/>
            <w:rtl w:val="0"/>
          </w:rPr>
          <w:t xml:space="preserve">https://www.sciencedirect.com/science/article/pii/S2211467X24001202</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Wang, Y. et al., (2024) propose un modèle d'optimisation à deux niveaux pour les stations multi-énergies régionales, en mettant l'accent sur une réponse conjointe à la demande afin de réduire les coûts et d'atténuer la demande sur le réseau. </w:t>
      </w:r>
      <w:hyperlink r:id="rId14">
        <w:r w:rsidDel="00000000" w:rsidR="00000000" w:rsidRPr="00000000">
          <w:rPr>
            <w:color w:val="1155cc"/>
            <w:u w:val="single"/>
            <w:rtl w:val="0"/>
          </w:rPr>
          <w:t xml:space="preserve">https://www.sciencedirect.com/science/article/pii/S0142061523005641</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Sterl, S. et al., (2021) montre que la coordination de l’exploitation du nouveau grand barrage éthiopien avec un déploiement massif de solaire et d’éolien apporte des bénéfices multiples au niveau régional. </w:t>
      </w:r>
      <w:hyperlink r:id="rId15">
        <w:r w:rsidDel="00000000" w:rsidR="00000000" w:rsidRPr="00000000">
          <w:rPr>
            <w:color w:val="1155cc"/>
            <w:u w:val="single"/>
            <w:rtl w:val="0"/>
          </w:rPr>
          <w:t xml:space="preserve">https://www.nature.com/articles/s41560-021-00799-5</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Dai, W. et al., (2021) p</w:t>
      </w:r>
      <w:r w:rsidDel="00000000" w:rsidR="00000000" w:rsidRPr="00000000">
        <w:rPr>
          <w:rtl w:val="0"/>
        </w:rPr>
        <w:t xml:space="preserve">résente un modèle d’expansion</w:t>
      </w:r>
      <w:r w:rsidDel="00000000" w:rsidR="00000000" w:rsidRPr="00000000">
        <w:rPr>
          <w:rtl w:val="0"/>
        </w:rPr>
        <w:t xml:space="preserve"> de génération qui intègre les échanges interrégionaux en tant que ressource de flexibilité « externe ». </w:t>
      </w:r>
      <w:hyperlink r:id="rId16">
        <w:r w:rsidDel="00000000" w:rsidR="00000000" w:rsidRPr="00000000">
          <w:rPr>
            <w:color w:val="1155cc"/>
            <w:u w:val="single"/>
            <w:rtl w:val="0"/>
          </w:rPr>
          <w:t xml:space="preserve">https://ieeexplore.ieee.org/document/9506938</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Den, X. et al., (2022) présente une étude de cas en Chine qui révèle des disparités régionales : dans les régions dominées par le charbon et la forte charge, la flexibilité du côté demande réduit notablement le coût d’intégration des renouvelables, tandis que les régions riches en énergies renouvelables privilégient une combinaison réponse de la demande + stockage pour satisfaire des besoins de flexibilité fortement fluctuants; enfin, la transmission interrégionale s’avère indispensable dans les zones aux déséquilibres offre-demande​. </w:t>
      </w:r>
      <w:hyperlink r:id="rId17">
        <w:r w:rsidDel="00000000" w:rsidR="00000000" w:rsidRPr="00000000">
          <w:rPr>
            <w:color w:val="1155cc"/>
            <w:u w:val="single"/>
            <w:rtl w:val="0"/>
          </w:rPr>
          <w:t xml:space="preserve">https://www.sciencedirect.com/science/article/abs/pii/S0960148122006036</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Den, X. et al., (2024) </w:t>
      </w:r>
      <w:r w:rsidDel="00000000" w:rsidR="00000000" w:rsidRPr="00000000">
        <w:rPr>
          <w:rtl w:val="0"/>
        </w:rPr>
        <w:t xml:space="preserve">ropose un modèle d’optimisation multi-régional </w:t>
      </w:r>
      <w:r w:rsidDel="00000000" w:rsidR="00000000" w:rsidRPr="00000000">
        <w:rPr>
          <w:rtl w:val="0"/>
        </w:rPr>
        <w:t xml:space="preserve">pour évaluer l’effet sur les émissions de CO₂ de différentes options de flexibilité dans le secteur électrique chinois​. Il montre que la combinaison de toutes les sources de flexibilité (production pilotable, échanges interrégionaux, stockage et demande flexible) permet de réduire significativement les émissions (pic avancé de 1–6 ans et volume maximal diminué de 0,26–0,48 milliards de tonnes par rapport à d’autres configurations), au prix toutefois de coûts plus élevés. </w:t>
      </w:r>
      <w:hyperlink r:id="rId18">
        <w:r w:rsidDel="00000000" w:rsidR="00000000" w:rsidRPr="00000000">
          <w:rPr>
            <w:color w:val="1155cc"/>
            <w:u w:val="single"/>
            <w:rtl w:val="0"/>
          </w:rPr>
          <w:t xml:space="preserve">https://www.sciencedirect.com/science/article/abs/pii/S0140988324001695</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Rinaldi, A. et al., (2022)</w:t>
      </w:r>
      <w:r w:rsidDel="00000000" w:rsidR="00000000" w:rsidRPr="00000000">
        <w:rPr>
          <w:rtl w:val="0"/>
        </w:rPr>
        <w:t xml:space="preserve"> présente un modèle d’optimisation open-source</w:t>
      </w:r>
      <w:r w:rsidDel="00000000" w:rsidR="00000000" w:rsidRPr="00000000">
        <w:rPr>
          <w:rtl w:val="0"/>
        </w:rPr>
        <w:t xml:space="preserve"> (GRIMSEL-FLEX) pour un système couplé électricité-chauffage, en minimisant le coût total d’approvisionnement en Suisse tout en intégrant diverses options de flexibilité​. </w:t>
        <w:tab/>
        <w:tab/>
      </w:r>
      <w:hyperlink r:id="rId19">
        <w:r w:rsidDel="00000000" w:rsidR="00000000" w:rsidRPr="00000000">
          <w:rPr>
            <w:color w:val="1155cc"/>
            <w:u w:val="single"/>
            <w:rtl w:val="0"/>
          </w:rPr>
          <w:t xml:space="preserve">https://www.sciencedirect.com/science/article/pii/S1364032122005858</w:t>
        </w:r>
      </w:hyperlink>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Li, J. et al., (2022) analyse les besoins de flexibilité du système électrique chinois pour atteindre la neutralité carbone d’ici 2060​. L’étude met en avant plusieurs leviers : accroître la flexibilité de l’offre (rétrofitting des centrales afin d’améliorer leur modulabilité), développer les réseaux de transport </w:t>
      </w:r>
      <w:r w:rsidDel="00000000" w:rsidR="00000000" w:rsidRPr="00000000">
        <w:rPr>
          <w:rtl w:val="0"/>
        </w:rPr>
        <w:t xml:space="preserve">interrégionaux </w:t>
      </w:r>
      <w:r w:rsidDel="00000000" w:rsidR="00000000" w:rsidRPr="00000000">
        <w:rPr>
          <w:rtl w:val="0"/>
        </w:rPr>
        <w:t xml:space="preserve">pour mieux équilibrer spatialement l’offre et la demande, encourager la flexibilité côté demande (demand response pour décaler les consommations dans le temps et l’espace) et déployer le stockage d’énergie.​ </w:t>
      </w:r>
      <w:hyperlink r:id="rId20">
        <w:r w:rsidDel="00000000" w:rsidR="00000000" w:rsidRPr="00000000">
          <w:rPr>
            <w:color w:val="1155cc"/>
            <w:u w:val="single"/>
            <w:rtl w:val="0"/>
          </w:rPr>
          <w:t xml:space="preserve">https://www.sciencedirect.com/science/article/abs/pii/S1364032122000417</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1364032122000417" TargetMode="External"/><Relationship Id="rId11" Type="http://schemas.openxmlformats.org/officeDocument/2006/relationships/hyperlink" Target="https://academic.oup.com/ijlct/article/doi/10.1093/ijlct/ctad111/7622989" TargetMode="External"/><Relationship Id="rId10" Type="http://schemas.openxmlformats.org/officeDocument/2006/relationships/hyperlink" Target="https://energyinformatics.springeropen.com/articles/10.1186/s42162-023-00262-7" TargetMode="External"/><Relationship Id="rId13" Type="http://schemas.openxmlformats.org/officeDocument/2006/relationships/hyperlink" Target="https://www.sciencedirect.com/science/article/pii/S2211467X24001202" TargetMode="External"/><Relationship Id="rId12" Type="http://schemas.openxmlformats.org/officeDocument/2006/relationships/hyperlink" Target="https://www.sciencedirect.com/science/article/pii/S2949821X230002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142061523005641" TargetMode="External"/><Relationship Id="rId15" Type="http://schemas.openxmlformats.org/officeDocument/2006/relationships/hyperlink" Target="https://www.nature.com/articles/s41560-021-00799-5" TargetMode="External"/><Relationship Id="rId14" Type="http://schemas.openxmlformats.org/officeDocument/2006/relationships/hyperlink" Target="https://www.sciencedirect.com/science/article/pii/S0142061523005641" TargetMode="External"/><Relationship Id="rId17" Type="http://schemas.openxmlformats.org/officeDocument/2006/relationships/hyperlink" Target="https://www.sciencedirect.com/science/article/abs/pii/S0960148122006036" TargetMode="External"/><Relationship Id="rId16" Type="http://schemas.openxmlformats.org/officeDocument/2006/relationships/hyperlink" Target="https://ieeexplore.ieee.org/document/9506938" TargetMode="External"/><Relationship Id="rId5" Type="http://schemas.openxmlformats.org/officeDocument/2006/relationships/styles" Target="styles.xml"/><Relationship Id="rId19" Type="http://schemas.openxmlformats.org/officeDocument/2006/relationships/hyperlink" Target="https://www.sciencedirect.com/science/article/pii/S1364032122005858" TargetMode="External"/><Relationship Id="rId6" Type="http://schemas.openxmlformats.org/officeDocument/2006/relationships/hyperlink" Target="https://www.sciencedirect.com/science/article/pii/S1359431123019002" TargetMode="External"/><Relationship Id="rId18" Type="http://schemas.openxmlformats.org/officeDocument/2006/relationships/hyperlink" Target="https://www.sciencedirect.com/science/article/abs/pii/S0140988324001695" TargetMode="External"/><Relationship Id="rId7" Type="http://schemas.openxmlformats.org/officeDocument/2006/relationships/hyperlink" Target="https://www.sciencedirect.com/science/article/abs/pii/S0960148122015828" TargetMode="External"/><Relationship Id="rId8" Type="http://schemas.openxmlformats.org/officeDocument/2006/relationships/hyperlink" Target="https://www.sciencedirect.com/science/article/abs/pii/S0306261924019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