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Зоны обслуживания и правила выезда</w:t>
      </w:r>
    </w:p>
    <w:p>
      <w:r>
        <w:t>Обслуживаемые районы: Центральный, Адмиралтейский, Василеостровский, Петроградский, Московский, Фрунзенский, Невский, Калининский, Выборгский, Приморский, Кировский, Красногвардейский.</w:t>
      </w:r>
    </w:p>
    <w:p>
      <w:r>
        <w:t>Пригороды не обслуживаются: Пушкин, Колпино, Кронштадт, Петергоф, Сестрорецк, Всеволожск.</w:t>
      </w:r>
    </w:p>
    <w:p>
      <w:r>
        <w:t>Время выезда мастера: в течение 24 часов, для срочных — в день обращения.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Срок</w:t>
            </w:r>
          </w:p>
        </w:tc>
      </w:tr>
      <w:tr>
        <w:tc>
          <w:tcPr>
            <w:tcW w:type="dxa" w:w="4320"/>
          </w:tcPr>
          <w:p>
            <w:r>
              <w:t>Обычная</w:t>
            </w:r>
          </w:p>
        </w:tc>
        <w:tc>
          <w:tcPr>
            <w:tcW w:type="dxa" w:w="4320"/>
          </w:tcPr>
          <w:p>
            <w:r>
              <w:t>24 часа</w:t>
            </w:r>
          </w:p>
        </w:tc>
      </w:tr>
      <w:tr>
        <w:tc>
          <w:tcPr>
            <w:tcW w:type="dxa" w:w="4320"/>
          </w:tcPr>
          <w:p>
            <w:r>
              <w:t>Срочная</w:t>
            </w:r>
          </w:p>
        </w:tc>
        <w:tc>
          <w:tcPr>
            <w:tcW w:type="dxa" w:w="4320"/>
          </w:tcPr>
          <w:p>
            <w:r>
              <w:t>в день обращения</w:t>
            </w:r>
          </w:p>
        </w:tc>
      </w:tr>
      <w:tr>
        <w:tc>
          <w:tcPr>
            <w:tcW w:type="dxa" w:w="4320"/>
          </w:tcPr>
          <w:p>
            <w:r>
              <w:t>Плановое ТО</w:t>
            </w:r>
          </w:p>
        </w:tc>
        <w:tc>
          <w:tcPr>
            <w:tcW w:type="dxa" w:w="4320"/>
          </w:tcPr>
          <w:p>
            <w:r>
              <w:t>по записи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