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Practical Task 8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Cyber Threat Intelligence Report Preparation</w:t>
      </w:r>
    </w:p>
    <w:p>
      <w:pPr>
        <w:pStyle w:val="Heading2"/>
        <w:spacing w:after="100" w:before="220"/>
      </w:pPr>
      <w:r>
        <w:t xml:space="preserve">Task Definition</w:t>
      </w:r>
    </w:p>
    <w:p>
      <w:pPr>
        <w:spacing w:after="120"/>
      </w:pPr>
      <w:r>
        <w:t xml:space="preserve">This task combines the I4C incident from Task 1 with OSINT research to build one structured Cyber Threat Intelligence (CTI) report.</w:t>
      </w:r>
    </w:p>
    <w:p>
      <w:pPr>
        <w:pStyle w:val="Heading2"/>
        <w:spacing w:after="100" w:before="220"/>
      </w:pPr>
      <w:r>
        <w:t xml:space="preserve">Why This Matters</w:t>
      </w:r>
    </w:p>
    <w:p>
      <w:pPr>
        <w:spacing w:after="120"/>
      </w:pPr>
      <w:r>
        <w:t xml:space="preserve">A CTI report puts scattered facts about an attack into one clear structure — this makes it easier for security teams to understand a threat and decide how to defend against it.</w:t>
      </w:r>
    </w:p>
    <w:p>
      <w:pPr>
        <w:pStyle w:val="Heading2"/>
        <w:spacing w:after="100" w:before="220"/>
      </w:pPr>
      <w:r>
        <w:t xml:space="preserve">Steps Followed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Reviewed the I4C incidents recorded in Task 1.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Picked the Digital Arrest Scam as the topic.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Searched public sources for more context on this scam pattern.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Structured everything into the report below.</w:t>
      </w:r>
    </w:p>
    <w:p>
      <w:pPr>
        <w:pStyle w:val="Heading2"/>
        <w:spacing w:after="100" w:before="220"/>
      </w:pPr>
      <w:r>
        <w:t xml:space="preserve">CTI Report</w:t>
      </w:r>
    </w:p>
    <w:p>
      <w:pPr>
        <w:spacing w:after="90"/>
      </w:pPr>
      <w:r>
        <w:rPr>
          <w:b/>
          <w:bCs/>
        </w:rPr>
        <w:t xml:space="preserve">Incident: </w:t>
      </w:r>
      <w:r>
        <w:t xml:space="preserve">Digital Arrest Scam (fake police/CBI video call extortion)</w:t>
      </w:r>
    </w:p>
    <w:p>
      <w:pPr>
        <w:spacing w:after="90"/>
      </w:pPr>
      <w:r>
        <w:rPr>
          <w:b/>
          <w:bCs/>
        </w:rPr>
        <w:t xml:space="preserve">Who's Behind It: </w:t>
      </w:r>
      <w:r>
        <w:t xml:space="preserve">Organised fraud groups, usually operating like call centres; exact individuals are rarely publicly identified</w:t>
      </w:r>
    </w:p>
    <w:p>
      <w:pPr>
        <w:spacing w:after="90"/>
      </w:pPr>
      <w:r>
        <w:rPr>
          <w:b/>
          <w:bCs/>
        </w:rPr>
        <w:t xml:space="preserve">How It Works: </w:t>
      </w:r>
      <w:r>
        <w:t xml:space="preserve">Caller pretends to be police/CBI, shows a fake uniform on video call, says the victim is 'under digital arrest', and demands money</w:t>
      </w:r>
    </w:p>
    <w:p>
      <w:pPr>
        <w:spacing w:after="90"/>
      </w:pPr>
      <w:r>
        <w:rPr>
          <w:b/>
          <w:bCs/>
        </w:rPr>
        <w:t xml:space="preserve">Impact: </w:t>
      </w:r>
      <w:r>
        <w:t xml:space="preserve">Victims lose large sums of money and suffer serious emotional stress</w:t>
      </w:r>
    </w:p>
    <w:p>
      <w:pPr>
        <w:spacing w:after="90"/>
      </w:pPr>
      <w:r>
        <w:rPr>
          <w:b/>
          <w:bCs/>
        </w:rPr>
        <w:t xml:space="preserve">Warning Signs: </w:t>
      </w:r>
      <w:r>
        <w:t xml:space="preserve">Unknown/international number calling, being told not to hang up, urgent money demands</w:t>
      </w:r>
    </w:p>
    <w:p>
      <w:pPr>
        <w:spacing w:after="90"/>
      </w:pPr>
      <w:r>
        <w:rPr>
          <w:b/>
          <w:bCs/>
        </w:rPr>
        <w:t xml:space="preserve">How to Stop It: </w:t>
      </w:r>
      <w:r>
        <w:t xml:space="preserve">Public awareness that no arrest happens over video call; verify through 1930 helpline; report immediately so money transfers can potentially be frozen</w:t>
      </w:r>
    </w:p>
    <w:p>
      <w:pPr>
        <w:pStyle w:val="Heading2"/>
        <w:spacing w:after="100" w:before="220"/>
      </w:pPr>
      <w:r>
        <w:t xml:space="preserve">Conclusion</w:t>
      </w:r>
    </w:p>
    <w:p>
      <w:pPr>
        <w:spacing w:after="120"/>
      </w:pPr>
      <w:r>
        <w:t xml:space="preserve">Combining the I4C incident data with public research gives a fuller picture of the scam — I4C shows how often and where it's happening, while public research confirms the pattern is widespread and consistent across cases.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2026-07-22T05:10:37.424Z</dcterms:created>
  <dcterms:modified xsi:type="dcterms:W3CDTF">2026-07-22T05:10:37.424Z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