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4525" w14:textId="77777777" w:rsidR="004842F5" w:rsidRPr="00C1678F" w:rsidRDefault="00000000">
      <w:pPr>
        <w:spacing w:after="240"/>
        <w:jc w:val="center"/>
        <w:rPr>
          <w:rFonts w:ascii="Times New Roman" w:hAnsi="Times New Roman" w:cs="Times New Roman"/>
        </w:rPr>
      </w:pPr>
      <w:r w:rsidRPr="00C1678F">
        <w:rPr>
          <w:rFonts w:ascii="Times New Roman" w:hAnsi="Times New Roman" w:cs="Times New Roman"/>
          <w:b/>
          <w:bCs/>
          <w:sz w:val="32"/>
          <w:szCs w:val="32"/>
        </w:rPr>
        <w:t>Supplementary Document S1</w:t>
      </w:r>
    </w:p>
    <w:p w14:paraId="0D5C67E6" w14:textId="77777777" w:rsidR="004842F5" w:rsidRPr="00C1678F" w:rsidRDefault="00000000">
      <w:pPr>
        <w:spacing w:after="120"/>
        <w:jc w:val="center"/>
        <w:rPr>
          <w:rFonts w:ascii="Times New Roman" w:hAnsi="Times New Roman" w:cs="Times New Roman"/>
        </w:rPr>
      </w:pPr>
      <w:r w:rsidRPr="00C1678F">
        <w:rPr>
          <w:rFonts w:ascii="Times New Roman" w:hAnsi="Times New Roman" w:cs="Times New Roman"/>
          <w:i/>
          <w:iCs/>
        </w:rPr>
        <w:t>Pre-registered Hypothesis and Success Criteria for Molecular Dynamics Validation of the Polar-Augmented β-Selective Binding Hypothesis</w:t>
      </w:r>
    </w:p>
    <w:p w14:paraId="2D0A92A9" w14:textId="77777777" w:rsidR="004842F5" w:rsidRPr="00C1678F" w:rsidRDefault="004842F5">
      <w:pPr>
        <w:spacing w:after="200"/>
        <w:rPr>
          <w:rFonts w:ascii="Times New Roman" w:hAnsi="Times New Roman" w:cs="Times New Roman"/>
        </w:rPr>
      </w:pPr>
    </w:p>
    <w:p w14:paraId="09A92867" w14:textId="77777777" w:rsidR="004842F5" w:rsidRPr="00C1678F" w:rsidRDefault="00000000">
      <w:pPr>
        <w:spacing w:after="80"/>
        <w:rPr>
          <w:rFonts w:ascii="Times New Roman" w:hAnsi="Times New Roman" w:cs="Times New Roman"/>
        </w:rPr>
      </w:pPr>
      <w:r w:rsidRPr="00C1678F">
        <w:rPr>
          <w:rFonts w:ascii="Times New Roman" w:hAnsi="Times New Roman" w:cs="Times New Roman"/>
          <w:b/>
          <w:bCs/>
        </w:rPr>
        <w:t xml:space="preserve">Companion manuscript: </w:t>
      </w:r>
      <w:r w:rsidRPr="00C1678F">
        <w:rPr>
          <w:rFonts w:ascii="Times New Roman" w:hAnsi="Times New Roman" w:cs="Times New Roman"/>
        </w:rPr>
        <w:t>Pre-registered Molecular Dynamics Validation Falsifies a Rigid-Docking Polar Triad and Reveals a Conserved HRD-Aspartate Anchor in Isoform-Selective PI3K Inhibitor Discovery</w:t>
      </w:r>
    </w:p>
    <w:p w14:paraId="397FA413" w14:textId="77777777" w:rsidR="004842F5" w:rsidRPr="00C1678F" w:rsidRDefault="00000000">
      <w:pPr>
        <w:spacing w:after="80"/>
        <w:rPr>
          <w:rFonts w:ascii="Times New Roman" w:hAnsi="Times New Roman" w:cs="Times New Roman"/>
        </w:rPr>
      </w:pPr>
      <w:r w:rsidRPr="00C1678F">
        <w:rPr>
          <w:rFonts w:ascii="Times New Roman" w:hAnsi="Times New Roman" w:cs="Times New Roman"/>
          <w:b/>
          <w:bCs/>
        </w:rPr>
        <w:t xml:space="preserve">Authors: </w:t>
      </w:r>
      <w:r w:rsidRPr="00C1678F">
        <w:rPr>
          <w:rFonts w:ascii="Times New Roman" w:hAnsi="Times New Roman" w:cs="Times New Roman"/>
        </w:rPr>
        <w:t>Kevser Kübra Kırboğa, Erhan Keles</w:t>
      </w:r>
    </w:p>
    <w:p w14:paraId="70C650A1" w14:textId="77777777" w:rsidR="004842F5" w:rsidRPr="00C1678F" w:rsidRDefault="00000000">
      <w:pPr>
        <w:spacing w:after="80"/>
        <w:rPr>
          <w:rFonts w:ascii="Times New Roman" w:hAnsi="Times New Roman" w:cs="Times New Roman"/>
        </w:rPr>
      </w:pPr>
      <w:r w:rsidRPr="00C1678F">
        <w:rPr>
          <w:rFonts w:ascii="Times New Roman" w:hAnsi="Times New Roman" w:cs="Times New Roman"/>
          <w:b/>
          <w:bCs/>
        </w:rPr>
        <w:t xml:space="preserve">Document version: </w:t>
      </w:r>
      <w:r w:rsidRPr="00C1678F">
        <w:rPr>
          <w:rFonts w:ascii="Times New Roman" w:hAnsi="Times New Roman" w:cs="Times New Roman"/>
        </w:rPr>
        <w:t>1.0</w:t>
      </w:r>
    </w:p>
    <w:p w14:paraId="031027A1" w14:textId="77777777" w:rsidR="004842F5" w:rsidRPr="00C1678F" w:rsidRDefault="00000000">
      <w:pPr>
        <w:spacing w:after="80"/>
        <w:rPr>
          <w:rFonts w:ascii="Times New Roman" w:hAnsi="Times New Roman" w:cs="Times New Roman"/>
        </w:rPr>
      </w:pPr>
      <w:r w:rsidRPr="00C1678F">
        <w:rPr>
          <w:rFonts w:ascii="Times New Roman" w:hAnsi="Times New Roman" w:cs="Times New Roman"/>
          <w:b/>
          <w:bCs/>
        </w:rPr>
        <w:t xml:space="preserve">Timestamp (commit date): </w:t>
      </w:r>
      <w:r w:rsidRPr="00C1678F">
        <w:rPr>
          <w:rFonts w:ascii="Times New Roman" w:hAnsi="Times New Roman" w:cs="Times New Roman"/>
        </w:rPr>
        <w:t>2026-04-18</w:t>
      </w:r>
    </w:p>
    <w:p w14:paraId="1DCCF7C6" w14:textId="77777777" w:rsidR="004842F5" w:rsidRPr="00C1678F" w:rsidRDefault="00000000">
      <w:pPr>
        <w:spacing w:after="80"/>
        <w:rPr>
          <w:rFonts w:ascii="Times New Roman" w:hAnsi="Times New Roman" w:cs="Times New Roman"/>
        </w:rPr>
      </w:pPr>
      <w:r w:rsidRPr="00C1678F">
        <w:rPr>
          <w:rFonts w:ascii="Times New Roman" w:hAnsi="Times New Roman" w:cs="Times New Roman"/>
          <w:b/>
          <w:bCs/>
        </w:rPr>
        <w:t xml:space="preserve">Repository: </w:t>
      </w:r>
      <w:r w:rsidRPr="00C1678F">
        <w:rPr>
          <w:rFonts w:ascii="Times New Roman" w:hAnsi="Times New Roman" w:cs="Times New Roman"/>
        </w:rPr>
        <w:t>https://github.com/tissueandcells/PI3K_hybrid_pipeline</w:t>
      </w:r>
    </w:p>
    <w:p w14:paraId="5B4A27D2" w14:textId="77777777" w:rsidR="004842F5" w:rsidRPr="00C1678F" w:rsidRDefault="00000000">
      <w:pPr>
        <w:spacing w:after="80"/>
        <w:rPr>
          <w:rFonts w:ascii="Times New Roman" w:hAnsi="Times New Roman" w:cs="Times New Roman"/>
        </w:rPr>
      </w:pPr>
      <w:r w:rsidRPr="00C1678F">
        <w:rPr>
          <w:rFonts w:ascii="Times New Roman" w:hAnsi="Times New Roman" w:cs="Times New Roman"/>
          <w:b/>
          <w:bCs/>
        </w:rPr>
        <w:t xml:space="preserve">Status at submission: </w:t>
      </w:r>
      <w:r w:rsidRPr="00C1678F">
        <w:rPr>
          <w:rFonts w:ascii="Times New Roman" w:hAnsi="Times New Roman" w:cs="Times New Roman"/>
        </w:rPr>
        <w:t>Committed prior to production MD initiation; not modified post hoc</w:t>
      </w:r>
    </w:p>
    <w:p w14:paraId="46E6794F" w14:textId="77777777" w:rsidR="004842F5" w:rsidRPr="00C1678F" w:rsidRDefault="004842F5">
      <w:pPr>
        <w:spacing w:after="200"/>
        <w:rPr>
          <w:rFonts w:ascii="Times New Roman" w:hAnsi="Times New Roman" w:cs="Times New Roman"/>
        </w:rPr>
      </w:pPr>
    </w:p>
    <w:p w14:paraId="12C89342"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1. Purpose of this document</w:t>
      </w:r>
    </w:p>
    <w:p w14:paraId="33C6105C"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This document defines, prior to any production molecular dynamics (MD) simulation, the hypothesis under test, the prototype and contingency compounds, the protocol parameters, and the binary success criteria that will be used to classify the outcome of the MD validation. Its function is to prevent post hoc </w:t>
      </w:r>
      <w:proofErr w:type="spellStart"/>
      <w:r w:rsidRPr="00C1678F">
        <w:rPr>
          <w:rFonts w:ascii="Times New Roman" w:hAnsi="Times New Roman" w:cs="Times New Roman"/>
        </w:rPr>
        <w:t>rationalisation</w:t>
      </w:r>
      <w:proofErr w:type="spellEnd"/>
      <w:r w:rsidRPr="00C1678F">
        <w:rPr>
          <w:rFonts w:ascii="Times New Roman" w:hAnsi="Times New Roman" w:cs="Times New Roman"/>
        </w:rPr>
        <w:t xml:space="preserve"> of the MD results: by committing the hypothesis class, the threshold values, and the four exhaustive outcome categories before observing any production trajectory, the validation framework operates as a falsification test rather than as a descriptive analysis. The document is timestamped 2026-04-18 and was committed to the project Git repository (URL above) before the first production MD step was executed; its commit history can therefore serve as evidence that the criteria reported in the companion manuscript (Section 2.13.2 and Section 3.12) were not adjusted after the fact.</w:t>
      </w:r>
    </w:p>
    <w:p w14:paraId="506E7AE7"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2. Background and hypothesis</w:t>
      </w:r>
    </w:p>
    <w:p w14:paraId="396DD5D2"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The hybrid screening pipeline described in the companion manuscript identified three PI3Kβ-assigned candidates from a 638-compound ensemble docking campaign — CPD_0332, CPD_0045, and CPD_0307 — whose top-scoring rigid-receptor poses contain three polar contacts each, in contrast to the purely hydrophobic binding mode of the reference β-selective inhibitor TGX-221 (zero hydrogen bonds detected at the 3.5 Å cutoff in PDB 2Y3A). The pharmacophore analysis (companion manuscript Section 3.11.2 and Figure 6) established that at least one residue from the LYS799 / ASP856 / ASP931 polar triad is engaged in the docking pose of each of the three candidates, with CPD_0332 contacting all three triad residues, CPD_0045 contacting ASP931 only, and CPD_0307 contacting LYS799 only.</w:t>
      </w:r>
    </w:p>
    <w:p w14:paraId="45B0B454"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The hypothesis under test is therefore the polar-augmented β-selective binding hypothesis: that introduction of polar contacts to the LYS799 / ASP856 / ASP931 triad augments the conserved hydrophobic binding mode of TGX-221 in a manner that is stable under unrestrained dynamical conditions on the 100 ns timescale. The rigid-receptor docking framework cannot answer this question because it does not sample side-chain reorientation, water displacement, or ligand torsional dynamics over physiological timescales. The MD validation reported in companion manuscript Section 3.12 is designed to provide the dynamical falsification test that the docking analysis cannot.</w:t>
      </w:r>
    </w:p>
    <w:p w14:paraId="2702C898"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lastRenderedPageBreak/>
        <w:t>3. Prototype compound and protocol contingency</w:t>
      </w:r>
    </w:p>
    <w:p w14:paraId="30D62D09" w14:textId="77777777" w:rsidR="004842F5" w:rsidRPr="00C1678F" w:rsidRDefault="00000000">
      <w:pPr>
        <w:pStyle w:val="Heading2"/>
        <w:spacing w:before="200" w:after="140"/>
        <w:rPr>
          <w:rFonts w:ascii="Times New Roman" w:hAnsi="Times New Roman" w:cs="Times New Roman"/>
          <w:color w:val="auto"/>
        </w:rPr>
      </w:pPr>
      <w:r w:rsidRPr="00C1678F">
        <w:rPr>
          <w:rFonts w:ascii="Times New Roman" w:hAnsi="Times New Roman" w:cs="Times New Roman"/>
          <w:b/>
          <w:bCs/>
          <w:color w:val="auto"/>
          <w:sz w:val="24"/>
          <w:szCs w:val="24"/>
        </w:rPr>
        <w:t>3.1 Prototype compound (primary test)</w:t>
      </w:r>
    </w:p>
    <w:p w14:paraId="238A867E"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CPD_0332 is selected as the prototype compound for the primary MD validation </w:t>
      </w:r>
      <w:proofErr w:type="gramStart"/>
      <w:r w:rsidRPr="00C1678F">
        <w:rPr>
          <w:rFonts w:ascii="Times New Roman" w:hAnsi="Times New Roman" w:cs="Times New Roman"/>
        </w:rPr>
        <w:t>on the basis of</w:t>
      </w:r>
      <w:proofErr w:type="gramEnd"/>
      <w:r w:rsidRPr="00C1678F">
        <w:rPr>
          <w:rFonts w:ascii="Times New Roman" w:hAnsi="Times New Roman" w:cs="Times New Roman"/>
        </w:rPr>
        <w:t xml:space="preserve"> two pre-specified criteria. First, it exhibited the largest β-selectivity margin among the three β-assigned candidates (ΔΔG = −0.64 kcal/mol; ensemble median PI3Kβ affinity = −10.59 kcal/mol). Second, it engaged all three residues of the LYS799 / ASP856 / ASP931 polar triad in its top-scoring ensemble docking pose, in contrast to CPD_0045 and CPD_0307, which engaged only a single triad residue each. CPD_0332 is therefore the strongest prima facie test of the polar-augmented binding hypothesis at the residue-engagement level.</w:t>
      </w:r>
    </w:p>
    <w:p w14:paraId="1456498C" w14:textId="77777777" w:rsidR="004842F5" w:rsidRPr="00C1678F" w:rsidRDefault="00000000">
      <w:pPr>
        <w:pStyle w:val="Heading2"/>
        <w:spacing w:before="200" w:after="140"/>
        <w:rPr>
          <w:rFonts w:ascii="Times New Roman" w:hAnsi="Times New Roman" w:cs="Times New Roman"/>
          <w:color w:val="auto"/>
        </w:rPr>
      </w:pPr>
      <w:r w:rsidRPr="00C1678F">
        <w:rPr>
          <w:rFonts w:ascii="Times New Roman" w:hAnsi="Times New Roman" w:cs="Times New Roman"/>
          <w:b/>
          <w:bCs/>
          <w:color w:val="auto"/>
          <w:sz w:val="24"/>
          <w:szCs w:val="24"/>
        </w:rPr>
        <w:t>3.2 Protocol contingency (secondary test)</w:t>
      </w:r>
    </w:p>
    <w:p w14:paraId="4D50350F"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To distinguish compound-specific dynamical instability from failure of the polar-augmented binding mode at the hypothesis-class level, a protocol contingency is specified in advance. If the prototype compound CPD_0332 fails to meet the Category A criteria (Section 5) in at least two of its three planned 100 ns replicas, the identical triplicate 100 ns MD protocol will be applied to a chemotype-divergent secondary candidate, CPD_0045 (ΔΔG = −0.55 kcal/mol; ASP931-engaging in docking pose). The contingency therefore tests whether the polar-augmented β-selective hypothesis </w:t>
      </w:r>
      <w:proofErr w:type="spellStart"/>
      <w:r w:rsidRPr="00C1678F">
        <w:rPr>
          <w:rFonts w:ascii="Times New Roman" w:hAnsi="Times New Roman" w:cs="Times New Roman"/>
        </w:rPr>
        <w:t>generalises</w:t>
      </w:r>
      <w:proofErr w:type="spellEnd"/>
      <w:r w:rsidRPr="00C1678F">
        <w:rPr>
          <w:rFonts w:ascii="Times New Roman" w:hAnsi="Times New Roman" w:cs="Times New Roman"/>
        </w:rPr>
        <w:t xml:space="preserve"> beyond a single </w:t>
      </w:r>
      <w:proofErr w:type="gramStart"/>
      <w:r w:rsidRPr="00C1678F">
        <w:rPr>
          <w:rFonts w:ascii="Times New Roman" w:hAnsi="Times New Roman" w:cs="Times New Roman"/>
        </w:rPr>
        <w:t>prototype, and</w:t>
      </w:r>
      <w:proofErr w:type="gramEnd"/>
      <w:r w:rsidRPr="00C1678F">
        <w:rPr>
          <w:rFonts w:ascii="Times New Roman" w:hAnsi="Times New Roman" w:cs="Times New Roman"/>
        </w:rPr>
        <w:t xml:space="preserve"> avoids conflating compound-level failure with hypothesis-level failure.</w:t>
      </w:r>
    </w:p>
    <w:p w14:paraId="191058F1"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In the event that the Category A criteria become mathematically unreachable for CPD_0332 after two failed replicas (i.e. when no possible third-replica outcome could lift the per-compound count to ≥ 2/3 Category A replicas), the third CPD_0332 replica will not be performed and computational resources will be redirected to the CPD_0045 secondary test. This contingency rule is committed in advance to prevent selective replica omission post hoc.</w:t>
      </w:r>
    </w:p>
    <w:p w14:paraId="2330DCE2"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4. Pre-specified protocol parameters</w:t>
      </w:r>
    </w:p>
    <w:p w14:paraId="2496A0F2"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The following protocol parameters are committed in advance and will not be altered after observation of any production trajectory. Full methodological detail is provided in the companion manuscript Section 2.13.</w:t>
      </w:r>
    </w:p>
    <w:p w14:paraId="41A92B65"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 xml:space="preserve">Receptor structure: PDB 2Y3A (human PI3Kβ kinase domain, chain A), processed with </w:t>
      </w:r>
      <w:proofErr w:type="spellStart"/>
      <w:r w:rsidRPr="00C1678F">
        <w:rPr>
          <w:rFonts w:ascii="Times New Roman" w:hAnsi="Times New Roman" w:cs="Times New Roman"/>
        </w:rPr>
        <w:t>PDBFixer</w:t>
      </w:r>
      <w:proofErr w:type="spellEnd"/>
      <w:r w:rsidRPr="00C1678F">
        <w:rPr>
          <w:rFonts w:ascii="Times New Roman" w:hAnsi="Times New Roman" w:cs="Times New Roman"/>
        </w:rPr>
        <w:t xml:space="preserve"> v1.11; missing residues and atoms modelled; heteroatoms and crystallographic waters removed; hydrogens added at pH 7.4.</w:t>
      </w:r>
    </w:p>
    <w:p w14:paraId="11F2A679"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 xml:space="preserve">Ligand starting pose: top-scoring </w:t>
      </w:r>
      <w:proofErr w:type="spellStart"/>
      <w:r w:rsidRPr="00C1678F">
        <w:rPr>
          <w:rFonts w:ascii="Times New Roman" w:hAnsi="Times New Roman" w:cs="Times New Roman"/>
        </w:rPr>
        <w:t>AutoDock</w:t>
      </w:r>
      <w:proofErr w:type="spellEnd"/>
      <w:r w:rsidRPr="00C1678F">
        <w:rPr>
          <w:rFonts w:ascii="Times New Roman" w:hAnsi="Times New Roman" w:cs="Times New Roman"/>
        </w:rPr>
        <w:t xml:space="preserve"> Vina docking pose from the campaign_638 ensemble docking; PDBQT converted to PDB with </w:t>
      </w:r>
      <w:proofErr w:type="spellStart"/>
      <w:r w:rsidRPr="00C1678F">
        <w:rPr>
          <w:rFonts w:ascii="Times New Roman" w:hAnsi="Times New Roman" w:cs="Times New Roman"/>
        </w:rPr>
        <w:t>OpenBabel</w:t>
      </w:r>
      <w:proofErr w:type="spellEnd"/>
      <w:r w:rsidRPr="00C1678F">
        <w:rPr>
          <w:rFonts w:ascii="Times New Roman" w:hAnsi="Times New Roman" w:cs="Times New Roman"/>
        </w:rPr>
        <w:t xml:space="preserve"> v3.1.1; centroid displacement from original Vina pose ≤ 0.50 Å.</w:t>
      </w:r>
    </w:p>
    <w:p w14:paraId="24E92F33"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Force field: AMBER ff14SB for protein; GAFF2 with AM1-BCC partial charges (ACPYPE v2023.10.27) for ligand; TIP3P water.</w:t>
      </w:r>
    </w:p>
    <w:p w14:paraId="20C476B2"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 xml:space="preserve">Solvation: truncated dodecahedral box, ≥ 1.2 nm minimum solute-to-edge distance; system </w:t>
      </w:r>
      <w:proofErr w:type="spellStart"/>
      <w:r w:rsidRPr="00C1678F">
        <w:rPr>
          <w:rFonts w:ascii="Times New Roman" w:hAnsi="Times New Roman" w:cs="Times New Roman"/>
        </w:rPr>
        <w:t>neutralised</w:t>
      </w:r>
      <w:proofErr w:type="spellEnd"/>
      <w:r w:rsidRPr="00C1678F">
        <w:rPr>
          <w:rFonts w:ascii="Times New Roman" w:hAnsi="Times New Roman" w:cs="Times New Roman"/>
        </w:rPr>
        <w:t xml:space="preserve"> with Na⁺/Cl⁻ to 0.15 M ionic strength.</w:t>
      </w:r>
    </w:p>
    <w:p w14:paraId="2C0A42DD"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Hydrogen mass repartitioning (HMR) applied to protein topology; 4 fs integration time step; LINCS constraints on all bonds during production.</w:t>
      </w:r>
    </w:p>
    <w:p w14:paraId="20B3D49B"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lastRenderedPageBreak/>
        <w:t xml:space="preserve">Equilibration: steepest-descent </w:t>
      </w:r>
      <w:proofErr w:type="spellStart"/>
      <w:r w:rsidRPr="00C1678F">
        <w:rPr>
          <w:rFonts w:ascii="Times New Roman" w:hAnsi="Times New Roman" w:cs="Times New Roman"/>
        </w:rPr>
        <w:t>minimisation</w:t>
      </w:r>
      <w:proofErr w:type="spellEnd"/>
      <w:r w:rsidRPr="00C1678F">
        <w:rPr>
          <w:rFonts w:ascii="Times New Roman" w:hAnsi="Times New Roman" w:cs="Times New Roman"/>
        </w:rPr>
        <w:t xml:space="preserve">; 100 </w:t>
      </w:r>
      <w:proofErr w:type="spellStart"/>
      <w:r w:rsidRPr="00C1678F">
        <w:rPr>
          <w:rFonts w:ascii="Times New Roman" w:hAnsi="Times New Roman" w:cs="Times New Roman"/>
        </w:rPr>
        <w:t>ps</w:t>
      </w:r>
      <w:proofErr w:type="spellEnd"/>
      <w:r w:rsidRPr="00C1678F">
        <w:rPr>
          <w:rFonts w:ascii="Times New Roman" w:hAnsi="Times New Roman" w:cs="Times New Roman"/>
        </w:rPr>
        <w:t xml:space="preserve"> NVT (heavy-atom restraint 1000 kJ/mol/nm²); 100 </w:t>
      </w:r>
      <w:proofErr w:type="spellStart"/>
      <w:r w:rsidRPr="00C1678F">
        <w:rPr>
          <w:rFonts w:ascii="Times New Roman" w:hAnsi="Times New Roman" w:cs="Times New Roman"/>
        </w:rPr>
        <w:t>ps</w:t>
      </w:r>
      <w:proofErr w:type="spellEnd"/>
      <w:r w:rsidRPr="00C1678F">
        <w:rPr>
          <w:rFonts w:ascii="Times New Roman" w:hAnsi="Times New Roman" w:cs="Times New Roman"/>
        </w:rPr>
        <w:t xml:space="preserve"> NVT (backbone restraint 500 kJ/mol/nm²); 500 </w:t>
      </w:r>
      <w:proofErr w:type="spellStart"/>
      <w:r w:rsidRPr="00C1678F">
        <w:rPr>
          <w:rFonts w:ascii="Times New Roman" w:hAnsi="Times New Roman" w:cs="Times New Roman"/>
        </w:rPr>
        <w:t>ps</w:t>
      </w:r>
      <w:proofErr w:type="spellEnd"/>
      <w:r w:rsidRPr="00C1678F">
        <w:rPr>
          <w:rFonts w:ascii="Times New Roman" w:hAnsi="Times New Roman" w:cs="Times New Roman"/>
        </w:rPr>
        <w:t xml:space="preserve"> NPT under restraints; 1 ns NPT gentle-release with 4 fs HMR step.</w:t>
      </w:r>
    </w:p>
    <w:p w14:paraId="2DEFFA41"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Production: three independent 100 ns replicas per compound; V-rescale temperature coupling at 300 K; C-rescale pressure coupling at 1 bar; PME electrostatics with 1.0 nm real-space cutoff.</w:t>
      </w:r>
    </w:p>
    <w:p w14:paraId="6A604F13"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Random velocity seeds: replica 1 = 42, replica 2 = 123, replica 3 = 456 (committed prior to launch).</w:t>
      </w:r>
    </w:p>
    <w:p w14:paraId="0BC68657" w14:textId="77777777" w:rsidR="004842F5" w:rsidRPr="00C1678F" w:rsidRDefault="00000000">
      <w:pPr>
        <w:pStyle w:val="ListParagraph"/>
        <w:numPr>
          <w:ilvl w:val="0"/>
          <w:numId w:val="2"/>
        </w:numPr>
        <w:spacing w:after="80" w:line="280" w:lineRule="auto"/>
        <w:jc w:val="both"/>
        <w:rPr>
          <w:rFonts w:ascii="Times New Roman" w:hAnsi="Times New Roman" w:cs="Times New Roman"/>
        </w:rPr>
      </w:pPr>
      <w:r w:rsidRPr="00C1678F">
        <w:rPr>
          <w:rFonts w:ascii="Times New Roman" w:hAnsi="Times New Roman" w:cs="Times New Roman"/>
        </w:rPr>
        <w:t>Analysis window: 50–100 ns of each replica, to exclude residual transient effects from the gentle-release equilibration phase.</w:t>
      </w:r>
    </w:p>
    <w:p w14:paraId="5A1C6370"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5. Pre-registered success criteria</w:t>
      </w:r>
    </w:p>
    <w:p w14:paraId="0E1FA37F"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The hypothesis is considered SUPPORTED (Category A) if and only if all three of the following criteria are met in at least two of the three independent replicas of the compound under test. The criteria are evaluated independently per replica; partial within-replica satisfaction is treated as failure of that replica.</w:t>
      </w:r>
    </w:p>
    <w:p w14:paraId="6ECFF083" w14:textId="77777777" w:rsidR="004842F5" w:rsidRPr="00C1678F" w:rsidRDefault="00000000">
      <w:pPr>
        <w:pStyle w:val="Heading2"/>
        <w:spacing w:before="200" w:after="140"/>
        <w:rPr>
          <w:rFonts w:ascii="Times New Roman" w:hAnsi="Times New Roman" w:cs="Times New Roman"/>
          <w:color w:val="auto"/>
        </w:rPr>
      </w:pPr>
      <w:r w:rsidRPr="00C1678F">
        <w:rPr>
          <w:rFonts w:ascii="Times New Roman" w:hAnsi="Times New Roman" w:cs="Times New Roman"/>
          <w:b/>
          <w:bCs/>
          <w:color w:val="auto"/>
          <w:sz w:val="24"/>
          <w:szCs w:val="24"/>
        </w:rPr>
        <w:t>5.1 Criterion 1 — Pose retention</w:t>
      </w:r>
    </w:p>
    <w:p w14:paraId="3A4AC654"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The mean ligand heavy-atom RMSD over the analysis window (50–100 ns), computed after least-squares alignment on the protein backbone (</w:t>
      </w:r>
      <w:proofErr w:type="spellStart"/>
      <w:r w:rsidRPr="00C1678F">
        <w:rPr>
          <w:rFonts w:ascii="Times New Roman" w:hAnsi="Times New Roman" w:cs="Times New Roman"/>
        </w:rPr>
        <w:t>gmx</w:t>
      </w:r>
      <w:proofErr w:type="spellEnd"/>
      <w:r w:rsidRPr="00C1678F">
        <w:rPr>
          <w:rFonts w:ascii="Times New Roman" w:hAnsi="Times New Roman" w:cs="Times New Roman"/>
        </w:rPr>
        <w:t xml:space="preserve"> rms with -fit </w:t>
      </w:r>
      <w:proofErr w:type="spellStart"/>
      <w:r w:rsidRPr="00C1678F">
        <w:rPr>
          <w:rFonts w:ascii="Times New Roman" w:hAnsi="Times New Roman" w:cs="Times New Roman"/>
        </w:rPr>
        <w:t>rot+trans</w:t>
      </w:r>
      <w:proofErr w:type="spellEnd"/>
      <w:r w:rsidRPr="00C1678F">
        <w:rPr>
          <w:rFonts w:ascii="Times New Roman" w:hAnsi="Times New Roman" w:cs="Times New Roman"/>
        </w:rPr>
        <w:t>), shall not exceed 5.0 Å. Transient frame-level excursions above 5.0 Å are permitted provided that (a) the analysis-window mean does not exceed the threshold and (b) the fraction of frames above 5.0 Å does not exceed 50 %, the latter constituting evidence of sustained pose departure rather than reversible thermal fluctuation.</w:t>
      </w:r>
    </w:p>
    <w:p w14:paraId="61A75E5A" w14:textId="77777777" w:rsidR="004842F5" w:rsidRPr="00C1678F" w:rsidRDefault="00000000">
      <w:pPr>
        <w:pStyle w:val="Heading2"/>
        <w:spacing w:before="200" w:after="140"/>
        <w:rPr>
          <w:rFonts w:ascii="Times New Roman" w:hAnsi="Times New Roman" w:cs="Times New Roman"/>
          <w:color w:val="auto"/>
        </w:rPr>
      </w:pPr>
      <w:r w:rsidRPr="00C1678F">
        <w:rPr>
          <w:rFonts w:ascii="Times New Roman" w:hAnsi="Times New Roman" w:cs="Times New Roman"/>
          <w:b/>
          <w:bCs/>
          <w:color w:val="auto"/>
          <w:sz w:val="24"/>
          <w:szCs w:val="24"/>
        </w:rPr>
        <w:t>5.2 Criterion 2 — Triad engagement</w:t>
      </w:r>
    </w:p>
    <w:p w14:paraId="6CDB9ABA"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The mean engagement occupancy over the final 50 ns of simulation shall reach at least 40 % for a minimum of two of the three hypothesis-critical residues, namely LYS799, ASP856, and ASP931. Engagement occupancy is computed as the fraction of analysis frames in which the minimum distance between the residue side-chain functional group (LYS799.NZ; ASP856.OD1/OD2; ASP931.OD1/OD2) and any ligand polar atom (all ligand N and O atoms) does not exceed 3.5 Å. Donor–hydrogen–acceptor angular criteria are not applied; this distance-based occupancy serves as a permissive geometric proxy for hydrogen-bonding propensity. The 40 % threshold and the ≥ 2/3 residue requirement together encode the prediction that polar augmentation is multi-residue rather than </w:t>
      </w:r>
      <w:proofErr w:type="gramStart"/>
      <w:r w:rsidRPr="00C1678F">
        <w:rPr>
          <w:rFonts w:ascii="Times New Roman" w:hAnsi="Times New Roman" w:cs="Times New Roman"/>
        </w:rPr>
        <w:t>single-residue</w:t>
      </w:r>
      <w:proofErr w:type="gramEnd"/>
      <w:r w:rsidRPr="00C1678F">
        <w:rPr>
          <w:rFonts w:ascii="Times New Roman" w:hAnsi="Times New Roman" w:cs="Times New Roman"/>
        </w:rPr>
        <w:t xml:space="preserve"> under dynamics.</w:t>
      </w:r>
    </w:p>
    <w:p w14:paraId="3FCBD153" w14:textId="77777777" w:rsidR="004842F5" w:rsidRPr="00C1678F" w:rsidRDefault="00000000">
      <w:pPr>
        <w:pStyle w:val="Heading2"/>
        <w:spacing w:before="200" w:after="140"/>
        <w:rPr>
          <w:rFonts w:ascii="Times New Roman" w:hAnsi="Times New Roman" w:cs="Times New Roman"/>
          <w:color w:val="auto"/>
        </w:rPr>
      </w:pPr>
      <w:r w:rsidRPr="00C1678F">
        <w:rPr>
          <w:rFonts w:ascii="Times New Roman" w:hAnsi="Times New Roman" w:cs="Times New Roman"/>
          <w:b/>
          <w:bCs/>
          <w:color w:val="auto"/>
          <w:sz w:val="24"/>
          <w:szCs w:val="24"/>
        </w:rPr>
        <w:t>5.3 Criterion 3 — Protein backbone stability</w:t>
      </w:r>
    </w:p>
    <w:p w14:paraId="092A2B75"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The protein backbone RMSD averaged over the final 50 ns of simulation shall not exceed 0.4 nm (4.0 Å), as computed by </w:t>
      </w:r>
      <w:proofErr w:type="spellStart"/>
      <w:r w:rsidRPr="00C1678F">
        <w:rPr>
          <w:rFonts w:ascii="Times New Roman" w:hAnsi="Times New Roman" w:cs="Times New Roman"/>
        </w:rPr>
        <w:t>gmx</w:t>
      </w:r>
      <w:proofErr w:type="spellEnd"/>
      <w:r w:rsidRPr="00C1678F">
        <w:rPr>
          <w:rFonts w:ascii="Times New Roman" w:hAnsi="Times New Roman" w:cs="Times New Roman"/>
        </w:rPr>
        <w:t xml:space="preserve"> rms after least-squares alignment on the initial backbone. This criterion is included to ensure that any apparent ligand-engagement signal is not an artefact of large-scale protein conformational drift.</w:t>
      </w:r>
    </w:p>
    <w:p w14:paraId="31D1D3DD"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6. Pre-specified outcome categories</w:t>
      </w:r>
    </w:p>
    <w:p w14:paraId="59B98D24"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lastRenderedPageBreak/>
        <w:t>Four exhaustive outcome categories are defined in advance. Each replica is assigned to exactly one category; the per-compound classification is determined by the count of Category A replicas (≥ 2/3 = hypothesis supported).</w:t>
      </w:r>
    </w:p>
    <w:tbl>
      <w:tblPr>
        <w:tblStyle w:val="PlainTable1"/>
        <w:tblW w:w="9360" w:type="dxa"/>
        <w:tblLook w:val="04A0" w:firstRow="1" w:lastRow="0" w:firstColumn="1" w:lastColumn="0" w:noHBand="0" w:noVBand="1"/>
      </w:tblPr>
      <w:tblGrid>
        <w:gridCol w:w="1560"/>
        <w:gridCol w:w="2400"/>
        <w:gridCol w:w="2700"/>
        <w:gridCol w:w="2700"/>
      </w:tblGrid>
      <w:tr w:rsidR="004842F5" w:rsidRPr="00C1678F" w14:paraId="26F10C16" w14:textId="77777777" w:rsidTr="00C16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E687F56" w14:textId="77777777" w:rsidR="004842F5" w:rsidRPr="00C1678F" w:rsidRDefault="00000000">
            <w:pPr>
              <w:jc w:val="center"/>
              <w:rPr>
                <w:rFonts w:ascii="Times New Roman" w:hAnsi="Times New Roman" w:cs="Times New Roman"/>
              </w:rPr>
            </w:pPr>
            <w:r w:rsidRPr="00C1678F">
              <w:rPr>
                <w:rFonts w:ascii="Times New Roman" w:hAnsi="Times New Roman" w:cs="Times New Roman"/>
                <w:sz w:val="20"/>
                <w:szCs w:val="20"/>
              </w:rPr>
              <w:t>Category</w:t>
            </w:r>
          </w:p>
        </w:tc>
        <w:tc>
          <w:tcPr>
            <w:tcW w:w="2400" w:type="dxa"/>
          </w:tcPr>
          <w:p w14:paraId="49E9D73D" w14:textId="77777777" w:rsidR="004842F5" w:rsidRPr="00C1678F"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Definition</w:t>
            </w:r>
          </w:p>
        </w:tc>
        <w:tc>
          <w:tcPr>
            <w:tcW w:w="2700" w:type="dxa"/>
          </w:tcPr>
          <w:p w14:paraId="2AF32690" w14:textId="77777777" w:rsidR="004842F5" w:rsidRPr="00C1678F"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Triad occupancy criterion</w:t>
            </w:r>
          </w:p>
        </w:tc>
        <w:tc>
          <w:tcPr>
            <w:tcW w:w="2700" w:type="dxa"/>
          </w:tcPr>
          <w:p w14:paraId="4D1B2F43" w14:textId="77777777" w:rsidR="004842F5" w:rsidRPr="00C1678F"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Interpretation</w:t>
            </w:r>
          </w:p>
        </w:tc>
      </w:tr>
      <w:tr w:rsidR="004842F5" w:rsidRPr="00C1678F" w14:paraId="76AD7D7C" w14:textId="77777777" w:rsidTr="00C1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8696D4E" w14:textId="77777777" w:rsidR="004842F5" w:rsidRPr="00C1678F" w:rsidRDefault="00000000">
            <w:pPr>
              <w:jc w:val="center"/>
              <w:rPr>
                <w:rFonts w:ascii="Times New Roman" w:hAnsi="Times New Roman" w:cs="Times New Roman"/>
              </w:rPr>
            </w:pPr>
            <w:r w:rsidRPr="00C1678F">
              <w:rPr>
                <w:rFonts w:ascii="Times New Roman" w:hAnsi="Times New Roman" w:cs="Times New Roman"/>
                <w:sz w:val="20"/>
                <w:szCs w:val="20"/>
              </w:rPr>
              <w:t>A</w:t>
            </w:r>
          </w:p>
        </w:tc>
        <w:tc>
          <w:tcPr>
            <w:tcW w:w="2400" w:type="dxa"/>
          </w:tcPr>
          <w:p w14:paraId="4F92FD7C" w14:textId="77777777" w:rsidR="004842F5" w:rsidRPr="00C167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Hypothesis fully supported</w:t>
            </w:r>
          </w:p>
        </w:tc>
        <w:tc>
          <w:tcPr>
            <w:tcW w:w="2700" w:type="dxa"/>
          </w:tcPr>
          <w:p w14:paraId="55136812" w14:textId="77777777" w:rsidR="004842F5" w:rsidRPr="00C167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 40 % occupancy at ≥ 2/3 triad residues; K1 and K3 also satisfied</w:t>
            </w:r>
          </w:p>
        </w:tc>
        <w:tc>
          <w:tcPr>
            <w:tcW w:w="2700" w:type="dxa"/>
          </w:tcPr>
          <w:p w14:paraId="648C5533" w14:textId="77777777" w:rsidR="004842F5" w:rsidRPr="00C167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Polar-augmented binding mode confirmed under dynamics</w:t>
            </w:r>
          </w:p>
        </w:tc>
      </w:tr>
      <w:tr w:rsidR="004842F5" w:rsidRPr="00C1678F" w14:paraId="5CA5C14E" w14:textId="77777777" w:rsidTr="00C1678F">
        <w:tc>
          <w:tcPr>
            <w:cnfStyle w:val="001000000000" w:firstRow="0" w:lastRow="0" w:firstColumn="1" w:lastColumn="0" w:oddVBand="0" w:evenVBand="0" w:oddHBand="0" w:evenHBand="0" w:firstRowFirstColumn="0" w:firstRowLastColumn="0" w:lastRowFirstColumn="0" w:lastRowLastColumn="0"/>
            <w:tcW w:w="1560" w:type="dxa"/>
          </w:tcPr>
          <w:p w14:paraId="78B3F6D4" w14:textId="77777777" w:rsidR="004842F5" w:rsidRPr="00C1678F" w:rsidRDefault="00000000">
            <w:pPr>
              <w:jc w:val="center"/>
              <w:rPr>
                <w:rFonts w:ascii="Times New Roman" w:hAnsi="Times New Roman" w:cs="Times New Roman"/>
              </w:rPr>
            </w:pPr>
            <w:r w:rsidRPr="00C1678F">
              <w:rPr>
                <w:rFonts w:ascii="Times New Roman" w:hAnsi="Times New Roman" w:cs="Times New Roman"/>
                <w:sz w:val="20"/>
                <w:szCs w:val="20"/>
              </w:rPr>
              <w:t>B</w:t>
            </w:r>
          </w:p>
        </w:tc>
        <w:tc>
          <w:tcPr>
            <w:tcW w:w="2400" w:type="dxa"/>
          </w:tcPr>
          <w:p w14:paraId="2B111BBA" w14:textId="77777777" w:rsidR="004842F5" w:rsidRPr="00C1678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Partial support</w:t>
            </w:r>
          </w:p>
        </w:tc>
        <w:tc>
          <w:tcPr>
            <w:tcW w:w="2700" w:type="dxa"/>
          </w:tcPr>
          <w:p w14:paraId="4A617A06" w14:textId="77777777" w:rsidR="004842F5" w:rsidRPr="00C1678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20–40 % occupancy at ≥ 2/3 triad residues</w:t>
            </w:r>
          </w:p>
        </w:tc>
        <w:tc>
          <w:tcPr>
            <w:tcW w:w="2700" w:type="dxa"/>
          </w:tcPr>
          <w:p w14:paraId="18930EA6" w14:textId="77777777" w:rsidR="004842F5" w:rsidRPr="00C1678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Transient polar contacts; binding mode partially preserved</w:t>
            </w:r>
          </w:p>
        </w:tc>
      </w:tr>
      <w:tr w:rsidR="004842F5" w:rsidRPr="00C1678F" w14:paraId="46C713DC" w14:textId="77777777" w:rsidTr="00C1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F5C6B8" w14:textId="77777777" w:rsidR="004842F5" w:rsidRPr="00C1678F" w:rsidRDefault="00000000">
            <w:pPr>
              <w:jc w:val="center"/>
              <w:rPr>
                <w:rFonts w:ascii="Times New Roman" w:hAnsi="Times New Roman" w:cs="Times New Roman"/>
              </w:rPr>
            </w:pPr>
            <w:r w:rsidRPr="00C1678F">
              <w:rPr>
                <w:rFonts w:ascii="Times New Roman" w:hAnsi="Times New Roman" w:cs="Times New Roman"/>
                <w:sz w:val="20"/>
                <w:szCs w:val="20"/>
              </w:rPr>
              <w:t>C</w:t>
            </w:r>
          </w:p>
        </w:tc>
        <w:tc>
          <w:tcPr>
            <w:tcW w:w="2400" w:type="dxa"/>
          </w:tcPr>
          <w:p w14:paraId="38D56493" w14:textId="77777777" w:rsidR="004842F5" w:rsidRPr="00C167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No support</w:t>
            </w:r>
          </w:p>
        </w:tc>
        <w:tc>
          <w:tcPr>
            <w:tcW w:w="2700" w:type="dxa"/>
          </w:tcPr>
          <w:p w14:paraId="6D802C2C" w14:textId="77777777" w:rsidR="004842F5" w:rsidRPr="00C167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&lt; 20 % occupancy at all three triad residues</w:t>
            </w:r>
          </w:p>
        </w:tc>
        <w:tc>
          <w:tcPr>
            <w:tcW w:w="2700" w:type="dxa"/>
          </w:tcPr>
          <w:p w14:paraId="692B8CD7" w14:textId="77777777" w:rsidR="004842F5" w:rsidRPr="00C167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Polar triad not engaged under dynamics</w:t>
            </w:r>
          </w:p>
        </w:tc>
      </w:tr>
      <w:tr w:rsidR="004842F5" w:rsidRPr="00C1678F" w14:paraId="40E5F472" w14:textId="77777777" w:rsidTr="00C1678F">
        <w:tc>
          <w:tcPr>
            <w:cnfStyle w:val="001000000000" w:firstRow="0" w:lastRow="0" w:firstColumn="1" w:lastColumn="0" w:oddVBand="0" w:evenVBand="0" w:oddHBand="0" w:evenHBand="0" w:firstRowFirstColumn="0" w:firstRowLastColumn="0" w:lastRowFirstColumn="0" w:lastRowLastColumn="0"/>
            <w:tcW w:w="1560" w:type="dxa"/>
          </w:tcPr>
          <w:p w14:paraId="5E51AD25" w14:textId="77777777" w:rsidR="004842F5" w:rsidRPr="00C1678F" w:rsidRDefault="00000000">
            <w:pPr>
              <w:jc w:val="center"/>
              <w:rPr>
                <w:rFonts w:ascii="Times New Roman" w:hAnsi="Times New Roman" w:cs="Times New Roman"/>
              </w:rPr>
            </w:pPr>
            <w:r w:rsidRPr="00C1678F">
              <w:rPr>
                <w:rFonts w:ascii="Times New Roman" w:hAnsi="Times New Roman" w:cs="Times New Roman"/>
                <w:sz w:val="20"/>
                <w:szCs w:val="20"/>
              </w:rPr>
              <w:t>D</w:t>
            </w:r>
          </w:p>
        </w:tc>
        <w:tc>
          <w:tcPr>
            <w:tcW w:w="2400" w:type="dxa"/>
          </w:tcPr>
          <w:p w14:paraId="7E6C568E" w14:textId="77777777" w:rsidR="004842F5" w:rsidRPr="00C1678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Binding-mode failure</w:t>
            </w:r>
          </w:p>
        </w:tc>
        <w:tc>
          <w:tcPr>
            <w:tcW w:w="2700" w:type="dxa"/>
          </w:tcPr>
          <w:p w14:paraId="1D4177EE" w14:textId="77777777" w:rsidR="004842F5" w:rsidRPr="00C1678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Failure of K1 (pose departure) or K3 (backbone instability) regardless of K2</w:t>
            </w:r>
          </w:p>
        </w:tc>
        <w:tc>
          <w:tcPr>
            <w:tcW w:w="2700" w:type="dxa"/>
          </w:tcPr>
          <w:p w14:paraId="73A2A021" w14:textId="77777777" w:rsidR="004842F5" w:rsidRPr="00C1678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78F">
              <w:rPr>
                <w:rFonts w:ascii="Times New Roman" w:hAnsi="Times New Roman" w:cs="Times New Roman"/>
                <w:sz w:val="20"/>
                <w:szCs w:val="20"/>
              </w:rPr>
              <w:t>Docked binding mode does not survive 100 ns dynamics</w:t>
            </w:r>
          </w:p>
        </w:tc>
      </w:tr>
    </w:tbl>
    <w:p w14:paraId="50DF86F7" w14:textId="77777777" w:rsidR="004842F5" w:rsidRPr="00C1678F" w:rsidRDefault="004842F5">
      <w:pPr>
        <w:spacing w:after="200"/>
        <w:rPr>
          <w:rFonts w:ascii="Times New Roman" w:hAnsi="Times New Roman" w:cs="Times New Roman"/>
        </w:rPr>
      </w:pPr>
    </w:p>
    <w:p w14:paraId="2A498B7F"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7. Decision rule and reporting commitment</w:t>
      </w:r>
    </w:p>
    <w:p w14:paraId="627951D7"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The hypothesis is reported as SUPPORTED at the prototype level if at least 2 of 3 CPD_0332 replicas are classified as Category A. If this threshold is not met, the protocol contingency (Section 3.2) is </w:t>
      </w:r>
      <w:proofErr w:type="gramStart"/>
      <w:r w:rsidRPr="00C1678F">
        <w:rPr>
          <w:rFonts w:ascii="Times New Roman" w:hAnsi="Times New Roman" w:cs="Times New Roman"/>
        </w:rPr>
        <w:t>triggered</w:t>
      </w:r>
      <w:proofErr w:type="gramEnd"/>
      <w:r w:rsidRPr="00C1678F">
        <w:rPr>
          <w:rFonts w:ascii="Times New Roman" w:hAnsi="Times New Roman" w:cs="Times New Roman"/>
        </w:rPr>
        <w:t xml:space="preserve"> and the same decision rule is applied to CPD_0045. The hypothesis is reported as SUPPORTED at the hypothesis-class level if either CPD_0332 or CPD_0045 satisfies the ≥ 2/3 Category A threshold. If neither compound satisfies this threshold, the rigid-docking-derived polar triad is reported as FALSIFIED at the strict residue-occupancy </w:t>
      </w:r>
      <w:proofErr w:type="gramStart"/>
      <w:r w:rsidRPr="00C1678F">
        <w:rPr>
          <w:rFonts w:ascii="Times New Roman" w:hAnsi="Times New Roman" w:cs="Times New Roman"/>
        </w:rPr>
        <w:t>criterion</w:t>
      </w:r>
      <w:proofErr w:type="gramEnd"/>
      <w:r w:rsidRPr="00C1678F">
        <w:rPr>
          <w:rFonts w:ascii="Times New Roman" w:hAnsi="Times New Roman" w:cs="Times New Roman"/>
        </w:rPr>
        <w:t>, and any partial findings (e.g. single-residue engagement) are reported descriptively without claim of hypothesis support.</w:t>
      </w:r>
    </w:p>
    <w:p w14:paraId="6345829D"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The full per-replica metric set, including all values of K1, K2, K3 and pocket-retention statistics, will be reported in the companion manuscript regardless of outcome. No replica will be omitted from reporting unless it failed to launch or was terminated by the protocol contingency described in Section 3.2; in either case, the omission and its reason will be disclosed explicitly.</w:t>
      </w:r>
    </w:p>
    <w:p w14:paraId="7CB0B53F"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8. Permitted deviations and disclosure</w:t>
      </w:r>
    </w:p>
    <w:p w14:paraId="22262787"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The following deviations from this pre-registration are permitted without invalidating the falsification framework, provided that they are disclosed transparently in the companion manuscript: (a) discovery of force-field parameter substitutions during ligand </w:t>
      </w:r>
      <w:proofErr w:type="spellStart"/>
      <w:r w:rsidRPr="00C1678F">
        <w:rPr>
          <w:rFonts w:ascii="Times New Roman" w:hAnsi="Times New Roman" w:cs="Times New Roman"/>
        </w:rPr>
        <w:t>parameterisation</w:t>
      </w:r>
      <w:proofErr w:type="spellEnd"/>
      <w:r w:rsidRPr="00C1678F">
        <w:rPr>
          <w:rFonts w:ascii="Times New Roman" w:hAnsi="Times New Roman" w:cs="Times New Roman"/>
        </w:rPr>
        <w:t>, provided that the substitutions are reported with their penalty scores and do not alter the binding-pocket atoms; (b) early termination of an individual replica due to numerical instability, provided that the failure is reported and the replica is not silently replaced; (c) discovery of a chemotype-specific dynamical engagement pattern (e.g. single-residue anchoring) that was not predicted by the rigid-docking analysis, provided that this is reported descriptively as a post-hoc finding distinct from the pre-registered hypothesis test. Any deviation beyond these will be flagged in the companion manuscript with a justification statement.</w:t>
      </w:r>
    </w:p>
    <w:p w14:paraId="2CC7206A" w14:textId="77777777" w:rsidR="004842F5" w:rsidRPr="00C1678F" w:rsidRDefault="00000000">
      <w:pPr>
        <w:pStyle w:val="Heading1"/>
        <w:spacing w:before="240" w:after="180"/>
        <w:rPr>
          <w:rFonts w:ascii="Times New Roman" w:hAnsi="Times New Roman" w:cs="Times New Roman"/>
          <w:color w:val="auto"/>
        </w:rPr>
      </w:pPr>
      <w:r w:rsidRPr="00C1678F">
        <w:rPr>
          <w:rFonts w:ascii="Times New Roman" w:hAnsi="Times New Roman" w:cs="Times New Roman"/>
          <w:b/>
          <w:bCs/>
          <w:color w:val="auto"/>
          <w:sz w:val="28"/>
          <w:szCs w:val="28"/>
        </w:rPr>
        <w:t>9. Commitment statement</w:t>
      </w:r>
    </w:p>
    <w:p w14:paraId="6E334916" w14:textId="77777777" w:rsidR="004842F5" w:rsidRPr="00C1678F" w:rsidRDefault="00000000">
      <w:pPr>
        <w:spacing w:after="120" w:line="300" w:lineRule="auto"/>
        <w:jc w:val="both"/>
        <w:rPr>
          <w:rFonts w:ascii="Times New Roman" w:hAnsi="Times New Roman" w:cs="Times New Roman"/>
        </w:rPr>
      </w:pPr>
      <w:r w:rsidRPr="00C1678F">
        <w:rPr>
          <w:rFonts w:ascii="Times New Roman" w:hAnsi="Times New Roman" w:cs="Times New Roman"/>
        </w:rPr>
        <w:t xml:space="preserve">By committing this document to the project repository on 2026-04-18, the authors commit to evaluating the MD validation outcome strictly against the criteria defined herein, and to reporting the outcome </w:t>
      </w:r>
      <w:r w:rsidRPr="00C1678F">
        <w:rPr>
          <w:rFonts w:ascii="Times New Roman" w:hAnsi="Times New Roman" w:cs="Times New Roman"/>
        </w:rPr>
        <w:lastRenderedPageBreak/>
        <w:t>regardless of whether it supports or falsifies the polar-augmented β-selective binding hypothesis. The integrity of this commitment can be verified by inspection of the repository's commit history.</w:t>
      </w:r>
    </w:p>
    <w:p w14:paraId="1714ED1A" w14:textId="02A24BB3" w:rsidR="004842F5" w:rsidRPr="00C1678F" w:rsidRDefault="004842F5">
      <w:pPr>
        <w:rPr>
          <w:rFonts w:ascii="Times New Roman" w:hAnsi="Times New Roman" w:cs="Times New Roman"/>
        </w:rPr>
      </w:pPr>
    </w:p>
    <w:sectPr w:rsidR="004842F5" w:rsidRPr="00C167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36ABF"/>
    <w:multiLevelType w:val="hybridMultilevel"/>
    <w:tmpl w:val="0096D0CA"/>
    <w:lvl w:ilvl="0" w:tplc="61B4B706">
      <w:start w:val="1"/>
      <w:numFmt w:val="bullet"/>
      <w:lvlText w:val="•"/>
      <w:lvlJc w:val="left"/>
      <w:pPr>
        <w:ind w:left="720" w:hanging="360"/>
      </w:pPr>
    </w:lvl>
    <w:lvl w:ilvl="1" w:tplc="F01E579E">
      <w:numFmt w:val="decimal"/>
      <w:lvlText w:val=""/>
      <w:lvlJc w:val="left"/>
    </w:lvl>
    <w:lvl w:ilvl="2" w:tplc="B7663DC0">
      <w:numFmt w:val="decimal"/>
      <w:lvlText w:val=""/>
      <w:lvlJc w:val="left"/>
    </w:lvl>
    <w:lvl w:ilvl="3" w:tplc="7E7AB09A">
      <w:numFmt w:val="decimal"/>
      <w:lvlText w:val=""/>
      <w:lvlJc w:val="left"/>
    </w:lvl>
    <w:lvl w:ilvl="4" w:tplc="78421088">
      <w:numFmt w:val="decimal"/>
      <w:lvlText w:val=""/>
      <w:lvlJc w:val="left"/>
    </w:lvl>
    <w:lvl w:ilvl="5" w:tplc="85384E1A">
      <w:numFmt w:val="decimal"/>
      <w:lvlText w:val=""/>
      <w:lvlJc w:val="left"/>
    </w:lvl>
    <w:lvl w:ilvl="6" w:tplc="CC52EE80">
      <w:numFmt w:val="decimal"/>
      <w:lvlText w:val=""/>
      <w:lvlJc w:val="left"/>
    </w:lvl>
    <w:lvl w:ilvl="7" w:tplc="6D8037D0">
      <w:numFmt w:val="decimal"/>
      <w:lvlText w:val=""/>
      <w:lvlJc w:val="left"/>
    </w:lvl>
    <w:lvl w:ilvl="8" w:tplc="8F949642">
      <w:numFmt w:val="decimal"/>
      <w:lvlText w:val=""/>
      <w:lvlJc w:val="left"/>
    </w:lvl>
  </w:abstractNum>
  <w:abstractNum w:abstractNumId="1" w15:restartNumberingAfterBreak="0">
    <w:nsid w:val="7D2004B4"/>
    <w:multiLevelType w:val="hybridMultilevel"/>
    <w:tmpl w:val="416E7622"/>
    <w:lvl w:ilvl="0" w:tplc="716C9772">
      <w:start w:val="1"/>
      <w:numFmt w:val="bullet"/>
      <w:lvlText w:val="●"/>
      <w:lvlJc w:val="left"/>
      <w:pPr>
        <w:ind w:left="720" w:hanging="360"/>
      </w:pPr>
    </w:lvl>
    <w:lvl w:ilvl="1" w:tplc="6EBA75F8">
      <w:start w:val="1"/>
      <w:numFmt w:val="bullet"/>
      <w:lvlText w:val="○"/>
      <w:lvlJc w:val="left"/>
      <w:pPr>
        <w:ind w:left="1440" w:hanging="360"/>
      </w:pPr>
    </w:lvl>
    <w:lvl w:ilvl="2" w:tplc="222A1F2E">
      <w:start w:val="1"/>
      <w:numFmt w:val="bullet"/>
      <w:lvlText w:val="■"/>
      <w:lvlJc w:val="left"/>
      <w:pPr>
        <w:ind w:left="2160" w:hanging="360"/>
      </w:pPr>
    </w:lvl>
    <w:lvl w:ilvl="3" w:tplc="811C84D4">
      <w:start w:val="1"/>
      <w:numFmt w:val="bullet"/>
      <w:lvlText w:val="●"/>
      <w:lvlJc w:val="left"/>
      <w:pPr>
        <w:ind w:left="2880" w:hanging="360"/>
      </w:pPr>
    </w:lvl>
    <w:lvl w:ilvl="4" w:tplc="1FEE56CC">
      <w:start w:val="1"/>
      <w:numFmt w:val="bullet"/>
      <w:lvlText w:val="○"/>
      <w:lvlJc w:val="left"/>
      <w:pPr>
        <w:ind w:left="3600" w:hanging="360"/>
      </w:pPr>
    </w:lvl>
    <w:lvl w:ilvl="5" w:tplc="3B42E674">
      <w:start w:val="1"/>
      <w:numFmt w:val="bullet"/>
      <w:lvlText w:val="■"/>
      <w:lvlJc w:val="left"/>
      <w:pPr>
        <w:ind w:left="4320" w:hanging="360"/>
      </w:pPr>
    </w:lvl>
    <w:lvl w:ilvl="6" w:tplc="734499E6">
      <w:start w:val="1"/>
      <w:numFmt w:val="bullet"/>
      <w:lvlText w:val="●"/>
      <w:lvlJc w:val="left"/>
      <w:pPr>
        <w:ind w:left="5040" w:hanging="360"/>
      </w:pPr>
    </w:lvl>
    <w:lvl w:ilvl="7" w:tplc="A9BCFB02">
      <w:start w:val="1"/>
      <w:numFmt w:val="bullet"/>
      <w:lvlText w:val="●"/>
      <w:lvlJc w:val="left"/>
      <w:pPr>
        <w:ind w:left="5760" w:hanging="360"/>
      </w:pPr>
    </w:lvl>
    <w:lvl w:ilvl="8" w:tplc="2852564E">
      <w:start w:val="1"/>
      <w:numFmt w:val="bullet"/>
      <w:lvlText w:val="●"/>
      <w:lvlJc w:val="left"/>
      <w:pPr>
        <w:ind w:left="6480" w:hanging="360"/>
      </w:pPr>
    </w:lvl>
  </w:abstractNum>
  <w:num w:numId="1" w16cid:durableId="1438405380">
    <w:abstractNumId w:val="1"/>
    <w:lvlOverride w:ilvl="0">
      <w:startOverride w:val="1"/>
    </w:lvlOverride>
  </w:num>
  <w:num w:numId="2" w16cid:durableId="1314094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2F5"/>
    <w:rsid w:val="00312C39"/>
    <w:rsid w:val="004842F5"/>
    <w:rsid w:val="00C167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E161"/>
  <w15:docId w15:val="{0CE1ED52-25DB-4DE7-9257-85065C6E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C1678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1793</Words>
  <Characters>10224</Characters>
  <Application>Microsoft Office Word</Application>
  <DocSecurity>0</DocSecurity>
  <Lines>85</Lines>
  <Paragraphs>23</Paragraphs>
  <ScaleCrop>false</ScaleCrop>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Document S1 — Pre-registered MD validation hypothesis</dc:title>
  <dc:creator>K. K. Kırboğa &amp; E. Keles</dc:creator>
  <dc:description>Pre-registered hypothesis and success criteria for MD validation of the polar-augmented β-selective binding hypothesis.</dc:description>
  <cp:lastModifiedBy>Kevser Kubra Kırboğa</cp:lastModifiedBy>
  <cp:revision>2</cp:revision>
  <dcterms:created xsi:type="dcterms:W3CDTF">2026-04-29T07:20:00Z</dcterms:created>
  <dcterms:modified xsi:type="dcterms:W3CDTF">2026-04-29T07:22:00Z</dcterms:modified>
</cp:coreProperties>
</file>