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7324D"/>
          <w:sz w:val="38"/>
        </w:rPr>
        <w:t>AI-Assisted Feed-Split Design for a Full-Scale Step-Feed ASP</w:t>
      </w:r>
    </w:p>
    <w:p>
      <w:pPr>
        <w:spacing w:after="100"/>
      </w:pPr>
      <w:r>
        <w:rPr>
          <w:rFonts w:ascii="Arial" w:hAnsi="Arial"/>
          <w:b/>
          <w:sz w:val="21"/>
        </w:rPr>
        <w:t>HU TONGYU, A0332797N  |  MA DINGNA, A0319575R</w:t>
      </w:r>
    </w:p>
    <w:p>
      <w:pPr>
        <w:pStyle w:val="Heading1"/>
        <w:spacing w:before="80" w:after="80"/>
      </w:pPr>
      <w:r>
        <w:rPr>
          <w:color w:val="17324D"/>
        </w:rPr>
        <w:t>1  Design question and case basis</w:t>
      </w:r>
    </w:p>
    <w:p>
      <w:pPr>
        <w:spacing w:line="480" w:lineRule="auto" w:after="40"/>
      </w:pPr>
      <w:r>
        <w:rPr>
          <w:rFonts w:ascii="Arial" w:hAnsi="Arial"/>
          <w:sz w:val="18"/>
        </w:rPr>
        <w:t>This study asks whether AI can improve the normal-operation influent split among four equal-volume zones of a real step-feed activated-sludge design. The 2021 EPA San Antonio de los Buenos feasibility case supplies the hydraulic, organic and total-aeration basis; the EPA 25/25/25/25 split is withheld until the engineering reveal. AI generates alternatives, a mechanistic model labels them, a machine-learning surrogate screens them, and engineering rules determine what can be recommended.</w:t>
      </w:r>
    </w:p>
    <w:p>
      <w:pPr>
        <w:spacing w:before="0" w:after="0" w:line="240" w:lineRule="auto"/>
      </w:pPr>
      <w:r>
        <w:rPr>
          <w:sz w:val="18"/>
        </w:rPr>
      </w:r>
    </w:p>
    <w:tbl>
      <w:tblPr>
        <w:tblStyle w:val="TableGrid"/>
        <w:tblW w:type="auto" w:w="0"/>
        <w:jc w:val="center"/>
        <w:tblLayout w:type="fixed"/>
        <w:tblLook w:firstColumn="1" w:firstRow="1" w:lastColumn="0" w:lastRow="0" w:noHBand="0" w:noVBand="1" w:val="04A0"/>
      </w:tblPr>
      <w:tblGrid>
        <w:gridCol w:w="3459"/>
        <w:gridCol w:w="3459"/>
        <w:gridCol w:w="3459"/>
      </w:tblGrid>
      <w:tr>
        <w:trPr>
          <w:tblHeader w:val="true"/>
        </w:trPr>
        <w:tc>
          <w:tcPr>
            <w:tcW w:type="dxa" w:w="3402"/>
            <w:shd w:fill="17324D"/>
            <w:vAlign w:val="center"/>
            <w:tcMar>
              <w:top w:w="90" w:type="dxa"/>
              <w:start w:w="110" w:type="dxa"/>
              <w:bottom w:w="90" w:type="dxa"/>
              <w:end w:w="110" w:type="dxa"/>
            </w:tcMar>
          </w:tcPr>
          <w:p>
            <w:pPr>
              <w:keepNext/>
              <w:jc w:val="center"/>
            </w:pPr>
            <w:r>
              <w:rPr>
                <w:b/>
                <w:color w:val="FFFFFF"/>
                <w:sz w:val="16"/>
              </w:rPr>
              <w:t>Design basis</w:t>
            </w:r>
          </w:p>
        </w:tc>
        <w:tc>
          <w:tcPr>
            <w:tcW w:type="dxa" w:w="3515"/>
            <w:shd w:fill="17324D"/>
            <w:vAlign w:val="center"/>
            <w:tcMar>
              <w:top w:w="90" w:type="dxa"/>
              <w:start w:w="110" w:type="dxa"/>
              <w:bottom w:w="90" w:type="dxa"/>
              <w:end w:w="110" w:type="dxa"/>
            </w:tcMar>
          </w:tcPr>
          <w:p>
            <w:pPr>
              <w:keepNext/>
              <w:jc w:val="center"/>
            </w:pPr>
            <w:r>
              <w:rPr>
                <w:b/>
                <w:color w:val="FFFFFF"/>
                <w:sz w:val="16"/>
              </w:rPr>
              <w:t>Value</w:t>
            </w:r>
          </w:p>
        </w:tc>
        <w:tc>
          <w:tcPr>
            <w:tcW w:type="dxa" w:w="3345"/>
            <w:shd w:fill="17324D"/>
            <w:vAlign w:val="center"/>
            <w:tcMar>
              <w:top w:w="90" w:type="dxa"/>
              <w:start w:w="110" w:type="dxa"/>
              <w:bottom w:w="90" w:type="dxa"/>
              <w:end w:w="110" w:type="dxa"/>
            </w:tcMar>
          </w:tcPr>
          <w:p>
            <w:pPr>
              <w:keepNext/>
              <w:jc w:val="center"/>
            </w:pPr>
            <w:r>
              <w:rPr>
                <w:b/>
                <w:color w:val="FFFFFF"/>
                <w:sz w:val="16"/>
              </w:rPr>
              <w:t>Audit status</w:t>
            </w:r>
          </w:p>
        </w:tc>
      </w:tr>
      <w:tr>
        <w:tc>
          <w:tcPr>
            <w:tcW w:type="dxa" w:w="3402"/>
            <w:vAlign w:val="center"/>
            <w:tcMar>
              <w:top w:w="90" w:type="dxa"/>
              <w:start w:w="110" w:type="dxa"/>
              <w:bottom w:w="90" w:type="dxa"/>
              <w:end w:w="110" w:type="dxa"/>
            </w:tcMar>
          </w:tcPr>
          <w:p>
            <w:pPr>
              <w:keepNext/>
              <w:spacing w:after="0" w:line="240" w:lineRule="auto"/>
              <w:jc w:val="left"/>
            </w:pPr>
            <w:r>
              <w:rPr>
                <w:sz w:val="16"/>
              </w:rPr>
              <w:t>Average / peak flow</w:t>
            </w:r>
          </w:p>
        </w:tc>
        <w:tc>
          <w:tcPr>
            <w:tcW w:type="dxa" w:w="3515"/>
            <w:vAlign w:val="center"/>
            <w:tcMar>
              <w:top w:w="90" w:type="dxa"/>
              <w:start w:w="110" w:type="dxa"/>
              <w:bottom w:w="90" w:type="dxa"/>
              <w:end w:w="110" w:type="dxa"/>
            </w:tcMar>
          </w:tcPr>
          <w:p>
            <w:pPr>
              <w:keepNext/>
              <w:spacing w:after="0" w:line="240" w:lineRule="auto"/>
              <w:jc w:val="center"/>
            </w:pPr>
            <w:r>
              <w:rPr>
                <w:sz w:val="16"/>
              </w:rPr>
              <w:t>5.0 / 12.5 MGD</w:t>
            </w:r>
          </w:p>
        </w:tc>
        <w:tc>
          <w:tcPr>
            <w:tcW w:type="dxa" w:w="3345"/>
            <w:vAlign w:val="center"/>
            <w:tcMar>
              <w:top w:w="90" w:type="dxa"/>
              <w:start w:w="110" w:type="dxa"/>
              <w:bottom w:w="90" w:type="dxa"/>
              <w:end w:w="110" w:type="dxa"/>
            </w:tcMar>
          </w:tcPr>
          <w:p>
            <w:pPr>
              <w:keepNext/>
              <w:spacing w:after="0" w:line="240" w:lineRule="auto"/>
              <w:jc w:val="center"/>
            </w:pPr>
            <w:r>
              <w:rPr>
                <w:sz w:val="16"/>
              </w:rPr>
              <w:t>EPA Tables 2-1, 2-7</w:t>
            </w:r>
          </w:p>
        </w:tc>
      </w:tr>
      <w:tr>
        <w:tc>
          <w:tcPr>
            <w:tcW w:type="dxa" w:w="3402"/>
            <w:vAlign w:val="center"/>
            <w:tcMar>
              <w:top w:w="90" w:type="dxa"/>
              <w:start w:w="110" w:type="dxa"/>
              <w:bottom w:w="90" w:type="dxa"/>
              <w:end w:w="110" w:type="dxa"/>
            </w:tcMar>
            <w:shd w:fill="F4F7FA"/>
          </w:tcPr>
          <w:p>
            <w:pPr>
              <w:keepNext/>
              <w:spacing w:after="0" w:line="240" w:lineRule="auto"/>
              <w:jc w:val="left"/>
            </w:pPr>
            <w:r>
              <w:rPr>
                <w:sz w:val="16"/>
              </w:rPr>
              <w:t>Secondary-influent BOD5</w:t>
            </w:r>
          </w:p>
        </w:tc>
        <w:tc>
          <w:tcPr>
            <w:tcW w:type="dxa" w:w="3515"/>
            <w:vAlign w:val="center"/>
            <w:tcMar>
              <w:top w:w="90" w:type="dxa"/>
              <w:start w:w="110" w:type="dxa"/>
              <w:bottom w:w="90" w:type="dxa"/>
              <w:end w:w="110" w:type="dxa"/>
            </w:tcMar>
            <w:shd w:fill="F4F7FA"/>
          </w:tcPr>
          <w:p>
            <w:pPr>
              <w:keepNext/>
              <w:spacing w:after="0" w:line="240" w:lineRule="auto"/>
              <w:jc w:val="center"/>
            </w:pPr>
            <w:r>
              <w:rPr>
                <w:sz w:val="16"/>
              </w:rPr>
              <w:t>11,700 lb/d = 280.58 mg/L</w:t>
            </w:r>
          </w:p>
        </w:tc>
        <w:tc>
          <w:tcPr>
            <w:tcW w:type="dxa" w:w="3345"/>
            <w:vAlign w:val="center"/>
            <w:tcMar>
              <w:top w:w="90" w:type="dxa"/>
              <w:start w:w="110" w:type="dxa"/>
              <w:bottom w:w="90" w:type="dxa"/>
              <w:end w:w="110" w:type="dxa"/>
            </w:tcMar>
            <w:shd w:fill="F4F7FA"/>
          </w:tcPr>
          <w:p>
            <w:pPr>
              <w:keepNext/>
              <w:spacing w:after="0" w:line="240" w:lineRule="auto"/>
              <w:jc w:val="center"/>
            </w:pPr>
            <w:r>
              <w:rPr>
                <w:sz w:val="16"/>
              </w:rPr>
              <w:t>8.34 conversion included</w:t>
            </w:r>
          </w:p>
        </w:tc>
      </w:tr>
      <w:tr>
        <w:tc>
          <w:tcPr>
            <w:tcW w:type="dxa" w:w="3402"/>
            <w:vAlign w:val="center"/>
            <w:tcMar>
              <w:top w:w="90" w:type="dxa"/>
              <w:start w:w="110" w:type="dxa"/>
              <w:bottom w:w="90" w:type="dxa"/>
              <w:end w:w="110" w:type="dxa"/>
            </w:tcMar>
          </w:tcPr>
          <w:p>
            <w:pPr>
              <w:keepNext/>
              <w:spacing w:after="0" w:line="240" w:lineRule="auto"/>
              <w:jc w:val="left"/>
            </w:pPr>
            <w:r>
              <w:rPr>
                <w:sz w:val="16"/>
              </w:rPr>
              <w:t>Aeration volume / MLSS</w:t>
            </w:r>
          </w:p>
        </w:tc>
        <w:tc>
          <w:tcPr>
            <w:tcW w:type="dxa" w:w="3515"/>
            <w:vAlign w:val="center"/>
            <w:tcMar>
              <w:top w:w="90" w:type="dxa"/>
              <w:start w:w="110" w:type="dxa"/>
              <w:bottom w:w="90" w:type="dxa"/>
              <w:end w:w="110" w:type="dxa"/>
            </w:tcMar>
          </w:tcPr>
          <w:p>
            <w:pPr>
              <w:keepNext/>
              <w:spacing w:after="0" w:line="240" w:lineRule="auto"/>
              <w:jc w:val="center"/>
            </w:pPr>
            <w:r>
              <w:rPr>
                <w:sz w:val="16"/>
              </w:rPr>
              <w:t>2.0 MG / 3,000 mg/L</w:t>
            </w:r>
          </w:p>
        </w:tc>
        <w:tc>
          <w:tcPr>
            <w:tcW w:type="dxa" w:w="3345"/>
            <w:vAlign w:val="center"/>
            <w:tcMar>
              <w:top w:w="90" w:type="dxa"/>
              <w:start w:w="110" w:type="dxa"/>
              <w:bottom w:w="90" w:type="dxa"/>
              <w:end w:w="110" w:type="dxa"/>
            </w:tcMar>
          </w:tcPr>
          <w:p>
            <w:pPr>
              <w:keepNext/>
              <w:spacing w:after="0" w:line="240" w:lineRule="auto"/>
              <w:jc w:val="center"/>
            </w:pPr>
            <w:r>
              <w:rPr>
                <w:sz w:val="16"/>
              </w:rPr>
              <w:t>Two 1.0-MG reactors</w:t>
            </w:r>
          </w:p>
        </w:tc>
      </w:tr>
      <w:tr>
        <w:tc>
          <w:tcPr>
            <w:tcW w:type="dxa" w:w="3402"/>
            <w:vAlign w:val="center"/>
            <w:tcMar>
              <w:top w:w="90" w:type="dxa"/>
              <w:start w:w="110" w:type="dxa"/>
              <w:bottom w:w="90" w:type="dxa"/>
              <w:end w:w="110" w:type="dxa"/>
            </w:tcMar>
            <w:shd w:fill="F4F7FA"/>
          </w:tcPr>
          <w:p>
            <w:pPr>
              <w:keepNext/>
              <w:spacing w:after="0" w:line="240" w:lineRule="auto"/>
              <w:jc w:val="left"/>
            </w:pPr>
            <w:r>
              <w:rPr>
                <w:sz w:val="16"/>
              </w:rPr>
              <w:t>RAS ratio</w:t>
            </w:r>
          </w:p>
        </w:tc>
        <w:tc>
          <w:tcPr>
            <w:tcW w:type="dxa" w:w="3515"/>
            <w:vAlign w:val="center"/>
            <w:tcMar>
              <w:top w:w="90" w:type="dxa"/>
              <w:start w:w="110" w:type="dxa"/>
              <w:bottom w:w="90" w:type="dxa"/>
              <w:end w:w="110" w:type="dxa"/>
            </w:tcMar>
            <w:shd w:fill="F4F7FA"/>
          </w:tcPr>
          <w:p>
            <w:pPr>
              <w:keepNext/>
              <w:spacing w:after="0" w:line="240" w:lineRule="auto"/>
              <w:jc w:val="center"/>
            </w:pPr>
            <w:r>
              <w:rPr>
                <w:sz w:val="16"/>
              </w:rPr>
              <w:t>R = 2.1/5.0 = 0.42</w:t>
            </w:r>
          </w:p>
        </w:tc>
        <w:tc>
          <w:tcPr>
            <w:tcW w:type="dxa" w:w="3345"/>
            <w:vAlign w:val="center"/>
            <w:tcMar>
              <w:top w:w="90" w:type="dxa"/>
              <w:start w:w="110" w:type="dxa"/>
              <w:bottom w:w="90" w:type="dxa"/>
              <w:end w:w="110" w:type="dxa"/>
            </w:tcMar>
            <w:shd w:fill="F4F7FA"/>
          </w:tcPr>
          <w:p>
            <w:pPr>
              <w:keepNext/>
              <w:spacing w:after="0" w:line="240" w:lineRule="auto"/>
              <w:jc w:val="center"/>
            </w:pPr>
            <w:r>
              <w:rPr>
                <w:sz w:val="16"/>
              </w:rPr>
              <w:t>EPA design flow</w:t>
            </w:r>
          </w:p>
        </w:tc>
      </w:tr>
      <w:tr>
        <w:tc>
          <w:tcPr>
            <w:tcW w:type="dxa" w:w="3402"/>
            <w:vAlign w:val="center"/>
            <w:tcMar>
              <w:top w:w="90" w:type="dxa"/>
              <w:start w:w="110" w:type="dxa"/>
              <w:bottom w:w="90" w:type="dxa"/>
              <w:end w:w="110" w:type="dxa"/>
            </w:tcMar>
          </w:tcPr>
          <w:p>
            <w:pPr>
              <w:keepNext/>
              <w:spacing w:after="0" w:line="240" w:lineRule="auto"/>
              <w:jc w:val="left"/>
            </w:pPr>
            <w:r>
              <w:rPr>
                <w:sz w:val="16"/>
              </w:rPr>
              <w:t>O2 required / supplied</w:t>
            </w:r>
          </w:p>
        </w:tc>
        <w:tc>
          <w:tcPr>
            <w:tcW w:type="dxa" w:w="3515"/>
            <w:vAlign w:val="center"/>
            <w:tcMar>
              <w:top w:w="90" w:type="dxa"/>
              <w:start w:w="110" w:type="dxa"/>
              <w:bottom w:w="90" w:type="dxa"/>
              <w:end w:w="110" w:type="dxa"/>
            </w:tcMar>
          </w:tcPr>
          <w:p>
            <w:pPr>
              <w:keepNext/>
              <w:spacing w:after="0" w:line="240" w:lineRule="auto"/>
              <w:jc w:val="center"/>
            </w:pPr>
            <w:r>
              <w:rPr>
                <w:sz w:val="16"/>
              </w:rPr>
              <w:t>15,400 / 15,600 lb/d</w:t>
            </w:r>
          </w:p>
        </w:tc>
        <w:tc>
          <w:tcPr>
            <w:tcW w:type="dxa" w:w="3345"/>
            <w:vAlign w:val="center"/>
            <w:tcMar>
              <w:top w:w="90" w:type="dxa"/>
              <w:start w:w="110" w:type="dxa"/>
              <w:bottom w:w="90" w:type="dxa"/>
              <w:end w:w="110" w:type="dxa"/>
            </w:tcMar>
          </w:tcPr>
          <w:p>
            <w:pPr>
              <w:keepNext/>
              <w:spacing w:after="0" w:line="240" w:lineRule="auto"/>
              <w:jc w:val="center"/>
            </w:pPr>
            <w:r>
              <w:rPr>
                <w:sz w:val="16"/>
              </w:rPr>
              <w:t>Total plant values only</w:t>
            </w:r>
          </w:p>
        </w:tc>
      </w:tr>
      <w:tr>
        <w:tc>
          <w:tcPr>
            <w:tcW w:type="dxa" w:w="3402"/>
            <w:vAlign w:val="center"/>
            <w:tcMar>
              <w:top w:w="90" w:type="dxa"/>
              <w:start w:w="110" w:type="dxa"/>
              <w:bottom w:w="90" w:type="dxa"/>
              <w:end w:w="110" w:type="dxa"/>
            </w:tcMar>
            <w:shd w:fill="F4F7FA"/>
          </w:tcPr>
          <w:p>
            <w:pPr>
              <w:spacing w:after="0" w:line="240" w:lineRule="auto"/>
              <w:jc w:val="left"/>
            </w:pPr>
            <w:r>
              <w:rPr>
                <w:sz w:val="16"/>
              </w:rPr>
              <w:t>Decision variables</w:t>
            </w:r>
          </w:p>
        </w:tc>
        <w:tc>
          <w:tcPr>
            <w:tcW w:type="dxa" w:w="3515"/>
            <w:vAlign w:val="center"/>
            <w:tcMar>
              <w:top w:w="90" w:type="dxa"/>
              <w:start w:w="110" w:type="dxa"/>
              <w:bottom w:w="90" w:type="dxa"/>
              <w:end w:w="110" w:type="dxa"/>
            </w:tcMar>
            <w:shd w:fill="F4F7FA"/>
          </w:tcPr>
          <w:p>
            <w:pPr>
              <w:spacing w:after="0" w:line="240" w:lineRule="auto"/>
              <w:jc w:val="center"/>
            </w:pPr>
            <w:r>
              <w:rPr>
                <w:sz w:val="16"/>
              </w:rPr>
              <w:t>f1...f4; sum(fi)=1</w:t>
            </w:r>
          </w:p>
        </w:tc>
        <w:tc>
          <w:tcPr>
            <w:tcW w:type="dxa" w:w="3345"/>
            <w:vAlign w:val="center"/>
            <w:tcMar>
              <w:top w:w="90" w:type="dxa"/>
              <w:start w:w="110" w:type="dxa"/>
              <w:bottom w:w="90" w:type="dxa"/>
              <w:end w:w="110" w:type="dxa"/>
            </w:tcMar>
            <w:shd w:fill="F4F7FA"/>
          </w:tcPr>
          <w:p>
            <w:pPr>
              <w:spacing w:after="0" w:line="240" w:lineRule="auto"/>
              <w:jc w:val="center"/>
            </w:pPr>
            <w:r>
              <w:rPr>
                <w:sz w:val="16"/>
              </w:rPr>
              <w:t>0.05 &lt;= fi &lt;= 0.60</w:t>
            </w:r>
          </w:p>
        </w:tc>
      </w:tr>
    </w:tbl>
    <w:p>
      <w:pPr>
        <w:spacing w:before="0" w:after="0" w:line="240" w:lineRule="auto"/>
      </w:pPr>
      <w:r>
        <w:rPr>
          <w:sz w:val="18"/>
        </w:rPr>
      </w:r>
    </w:p>
    <w:p>
      <w:pPr>
        <w:pStyle w:val="Heading2"/>
        <w:spacing w:before="40" w:after="80"/>
      </w:pPr>
      <w:r>
        <w:rPr>
          <w:color w:val="0F766E"/>
        </w:rPr>
        <w:t>Independent design checks</w:t>
      </w:r>
    </w:p>
    <w:p>
      <w:pPr>
        <w:spacing w:before="0" w:after="0" w:line="240" w:lineRule="auto"/>
      </w:pPr>
      <w:r>
        <w:rPr>
          <w:sz w:val="18"/>
        </w:rPr>
      </w:r>
    </w:p>
    <w:p>
      <w:pPr>
        <w:tabs>
          <w:tab w:pos="5102" w:val="center"/>
          <w:tab w:pos="10205" w:val="right"/>
        </w:tabs>
        <w:spacing w:before="0" w:after="0"/>
      </w:pPr>
      <w:r>
        <w:tab/>
      </w:r>
      <w:r>
        <w:rPr>
          <w:rFonts w:ascii="Cambria Math" w:hAnsi="Cambria Math"/>
          <w:sz w:val="20"/>
        </w:rPr>
        <w:t>theta = 24V/Q = 24(2.0)/5.0 = 9.6 h</w:t>
      </w:r>
      <w:r>
        <w:tab/>
      </w:r>
      <w:r>
        <w:rPr>
          <w:rFonts w:ascii="Arial" w:hAnsi="Arial"/>
          <w:sz w:val="18"/>
        </w:rPr>
        <w:t>(1)</w:t>
      </w:r>
    </w:p>
    <w:p>
      <w:pPr>
        <w:spacing w:before="0" w:after="0" w:line="240" w:lineRule="auto"/>
      </w:pPr>
      <w:r>
        <w:rPr>
          <w:sz w:val="18"/>
        </w:rPr>
      </w:r>
    </w:p>
    <w:p>
      <w:pPr>
        <w:spacing w:before="0" w:after="0" w:line="240" w:lineRule="auto"/>
      </w:pPr>
      <w:r>
        <w:rPr>
          <w:sz w:val="18"/>
        </w:rPr>
      </w:r>
    </w:p>
    <w:p>
      <w:pPr>
        <w:tabs>
          <w:tab w:pos="5102" w:val="center"/>
          <w:tab w:pos="10205" w:val="right"/>
        </w:tabs>
        <w:spacing w:before="0" w:after="0"/>
      </w:pPr>
      <w:r>
        <w:tab/>
      </w:r>
      <w:r>
        <w:rPr>
          <w:rFonts w:ascii="Cambria Math" w:hAnsi="Cambria Math"/>
          <w:sz w:val="20"/>
        </w:rPr>
        <w:t>L_v = 8.34QS_0/(133.681V) = 43.76 lb BOD5 d^-1 (10^3 ft^3)^-1</w:t>
      </w:r>
      <w:r>
        <w:tab/>
      </w:r>
      <w:r>
        <w:rPr>
          <w:rFonts w:ascii="Arial" w:hAnsi="Arial"/>
          <w:sz w:val="18"/>
        </w:rPr>
        <w:t>(2)</w:t>
      </w:r>
    </w:p>
    <w:p>
      <w:pPr>
        <w:spacing w:before="0" w:after="0" w:line="240" w:lineRule="auto"/>
      </w:pPr>
      <w:r>
        <w:rPr>
          <w:sz w:val="18"/>
        </w:rPr>
      </w:r>
    </w:p>
    <w:p>
      <w:pPr>
        <w:spacing w:before="0" w:after="0" w:line="240" w:lineRule="auto"/>
      </w:pPr>
      <w:r>
        <w:rPr>
          <w:sz w:val="18"/>
        </w:rPr>
      </w:r>
    </w:p>
    <w:p>
      <w:pPr>
        <w:tabs>
          <w:tab w:pos="5102" w:val="center"/>
          <w:tab w:pos="10205" w:val="right"/>
        </w:tabs>
        <w:spacing w:before="0" w:after="0"/>
      </w:pPr>
      <w:r>
        <w:tab/>
      </w:r>
      <w:r>
        <w:rPr>
          <w:rFonts w:ascii="Cambria Math" w:hAnsi="Cambria Math"/>
          <w:sz w:val="20"/>
        </w:rPr>
        <w:t>F/M = QS_0/(VX) = 0.234 d^-1</w:t>
      </w:r>
      <w:r>
        <w:tab/>
      </w:r>
      <w:r>
        <w:rPr>
          <w:rFonts w:ascii="Arial" w:hAnsi="Arial"/>
          <w:sz w:val="18"/>
        </w:rPr>
        <w:t>(3)</w:t>
      </w:r>
    </w:p>
    <w:p>
      <w:pPr>
        <w:spacing w:before="0" w:after="0" w:line="240" w:lineRule="auto"/>
      </w:pPr>
      <w:r>
        <w:rPr>
          <w:sz w:val="18"/>
        </w:rPr>
      </w:r>
    </w:p>
    <w:p>
      <w:pPr>
        <w:spacing w:line="480" w:lineRule="auto" w:after="40"/>
      </w:pPr>
      <w:r>
        <w:rPr>
          <w:rFonts w:ascii="Arial" w:hAnsi="Arial"/>
          <w:sz w:val="17"/>
        </w:rPr>
        <w:t>The corrected loading equation contains 8.34 because Q is in MGD and S0 is in mg/L; 133.681 converts MG to 10^3 ft3. The checks reproduce the reported design scale and establish transparent guardrails. They do not establish current as-built performance.</w:t>
      </w:r>
    </w:p>
    <w:p>
      <w:pPr>
        <w:pStyle w:val="Heading2"/>
        <w:spacing w:before="40" w:after="80"/>
      </w:pPr>
      <w:r>
        <w:rPr>
          <w:color w:val="0F766E"/>
        </w:rPr>
        <w:t>AI role and claimed contribution</w:t>
      </w:r>
    </w:p>
    <w:p>
      <w:pPr>
        <w:spacing w:line="480" w:lineRule="auto" w:after="40"/>
      </w:pPr>
      <w:r>
        <w:rPr>
          <w:rFonts w:ascii="Arial" w:hAnsi="Arial"/>
          <w:sz w:val="17"/>
        </w:rPr>
        <w:t>AI creativity is expressed through divergent option generation and discovery of a local-aeration-capacity frontier, not through inventing biological laws. Its productivity is the rapid evaluation of thousands of four-way splits and automatic sensitivity analysis. Effectiveness is judged by reproducibility, mechanistic recomputation and the ability to expose an engineering decision that a single hand calculation would hide.</w:t>
      </w:r>
    </w:p>
    <w:p>
      <w:pPr>
        <w:pStyle w:val="Heading1"/>
        <w:spacing w:before="80" w:after="80"/>
      </w:pPr>
      <w:r>
        <w:rPr>
          <w:color w:val="17324D"/>
        </w:rPr>
        <w:t>2  Model, sampling and surrogate evidence</w:t>
      </w:r>
    </w:p>
    <w:p>
      <w:pPr>
        <w:spacing w:line="480" w:lineRule="auto" w:after="40"/>
      </w:pPr>
      <w:r>
        <w:rPr>
          <w:rFonts w:ascii="Arial" w:hAnsi="Arial"/>
          <w:sz w:val="18"/>
        </w:rPr>
        <w:t>A four-CSTR steady-state model represents the aggregate four zones. Each aggregate zone uses V_i = 0.50 MG, i = 1, 2, 3, 4. Soluble BOD in recycled activated sludge is approximated by the final-zone concentration. The one-point rate coefficient is calibrated from the EPA aggregate influent load, volume and 11 mg/L modelled cBOD5 value. This makes the model suitable for relative split screening under fixed assumptions, not for independent prediction of plant effluent.</w:t>
      </w:r>
    </w:p>
    <w:p>
      <w:pPr>
        <w:spacing w:before="0" w:after="0" w:line="240" w:lineRule="auto"/>
      </w:pPr>
      <w:r>
        <w:rPr>
          <w:sz w:val="18"/>
        </w:rPr>
      </w:r>
    </w:p>
    <w:tbl>
      <w:tblPr>
        <w:tblStyle w:val="TableGrid"/>
        <w:tblW w:type="auto" w:w="0"/>
        <w:jc w:val="center"/>
        <w:tblLayout w:type="fixed"/>
        <w:tblLook w:firstColumn="1" w:firstRow="1" w:lastColumn="0" w:lastRow="0" w:noHBand="0" w:noVBand="1" w:val="04A0"/>
      </w:tblPr>
      <w:tblGrid>
        <w:gridCol w:w="3459"/>
        <w:gridCol w:w="3459"/>
        <w:gridCol w:w="3459"/>
      </w:tblGrid>
      <w:tr>
        <w:trPr>
          <w:tblHeader w:val="true"/>
        </w:trPr>
        <w:tc>
          <w:tcPr>
            <w:tcW w:type="dxa" w:w="1757"/>
            <w:shd w:fill="17324D"/>
            <w:vAlign w:val="center"/>
            <w:tcMar>
              <w:top w:w="90" w:type="dxa"/>
              <w:start w:w="110" w:type="dxa"/>
              <w:bottom w:w="90" w:type="dxa"/>
              <w:end w:w="110" w:type="dxa"/>
            </w:tcMar>
          </w:tcPr>
          <w:p>
            <w:pPr>
              <w:keepNext/>
              <w:jc w:val="center"/>
            </w:pPr>
            <w:r>
              <w:rPr>
                <w:b/>
                <w:color w:val="FFFFFF"/>
                <w:sz w:val="15"/>
              </w:rPr>
              <w:t>Element</w:t>
            </w:r>
          </w:p>
        </w:tc>
        <w:tc>
          <w:tcPr>
            <w:tcW w:type="dxa" w:w="5159"/>
            <w:shd w:fill="17324D"/>
            <w:vAlign w:val="center"/>
            <w:tcMar>
              <w:top w:w="90" w:type="dxa"/>
              <w:start w:w="110" w:type="dxa"/>
              <w:bottom w:w="90" w:type="dxa"/>
              <w:end w:w="110" w:type="dxa"/>
            </w:tcMar>
          </w:tcPr>
          <w:p>
            <w:pPr>
              <w:keepNext/>
              <w:jc w:val="center"/>
            </w:pPr>
            <w:r>
              <w:rPr>
                <w:b/>
                <w:color w:val="FFFFFF"/>
                <w:sz w:val="15"/>
              </w:rPr>
              <w:t>Equation</w:t>
            </w:r>
          </w:p>
        </w:tc>
        <w:tc>
          <w:tcPr>
            <w:tcW w:type="dxa" w:w="3345"/>
            <w:shd w:fill="17324D"/>
            <w:vAlign w:val="center"/>
            <w:tcMar>
              <w:top w:w="90" w:type="dxa"/>
              <w:start w:w="110" w:type="dxa"/>
              <w:bottom w:w="90" w:type="dxa"/>
              <w:end w:w="110" w:type="dxa"/>
            </w:tcMar>
          </w:tcPr>
          <w:p>
            <w:pPr>
              <w:keepNext/>
              <w:jc w:val="center"/>
            </w:pPr>
            <w:r>
              <w:rPr>
                <w:b/>
                <w:color w:val="FFFFFF"/>
                <w:sz w:val="15"/>
              </w:rPr>
              <w:t>Meaning</w:t>
            </w:r>
          </w:p>
        </w:tc>
      </w:tr>
      <w:tr>
        <w:tc>
          <w:tcPr>
            <w:tcW w:type="dxa" w:w="1757"/>
            <w:vAlign w:val="center"/>
            <w:tcMar>
              <w:top w:w="90" w:type="dxa"/>
              <w:start w:w="110" w:type="dxa"/>
              <w:bottom w:w="90" w:type="dxa"/>
              <w:end w:w="110" w:type="dxa"/>
            </w:tcMar>
          </w:tcPr>
          <w:p>
            <w:pPr>
              <w:keepNext/>
              <w:spacing w:after="0" w:line="240" w:lineRule="auto"/>
              <w:jc w:val="left"/>
            </w:pPr>
            <w:r>
              <w:rPr>
                <w:sz w:val="15"/>
              </w:rPr>
              <w:t>Zone 1 boundary</w:t>
            </w:r>
          </w:p>
        </w:tc>
        <w:tc>
          <w:tcPr>
            <w:tcW w:type="dxa" w:w="5159"/>
            <w:vAlign w:val="center"/>
            <w:tcMar>
              <w:top w:w="90" w:type="dxa"/>
              <w:start w:w="110" w:type="dxa"/>
              <w:bottom w:w="90" w:type="dxa"/>
              <w:end w:w="110" w:type="dxa"/>
            </w:tcMar>
          </w:tcPr>
          <w:p>
            <w:pPr>
              <w:keepNext/>
              <w:spacing w:after="0" w:line="240" w:lineRule="auto"/>
              <w:jc w:val="center"/>
            </w:pPr>
            <w:r>
              <w:rPr>
                <w:sz w:val="15"/>
              </w:rPr>
              <w:t>0=RQ S4+f1QS0-Q(R+f1)S1-kappa V1S1</w:t>
            </w:r>
          </w:p>
        </w:tc>
        <w:tc>
          <w:tcPr>
            <w:tcW w:type="dxa" w:w="3345"/>
            <w:vAlign w:val="center"/>
            <w:tcMar>
              <w:top w:w="90" w:type="dxa"/>
              <w:start w:w="110" w:type="dxa"/>
              <w:bottom w:w="90" w:type="dxa"/>
              <w:end w:w="110" w:type="dxa"/>
            </w:tcMar>
          </w:tcPr>
          <w:p>
            <w:pPr>
              <w:keepNext/>
              <w:spacing w:after="0" w:line="240" w:lineRule="auto"/>
              <w:jc w:val="center"/>
            </w:pPr>
            <w:r>
              <w:rPr>
                <w:sz w:val="15"/>
              </w:rPr>
              <w:t>RAS soluble BOD enters as RQ S4</w:t>
            </w:r>
          </w:p>
        </w:tc>
      </w:tr>
      <w:tr>
        <w:tc>
          <w:tcPr>
            <w:tcW w:type="dxa" w:w="1757"/>
            <w:vAlign w:val="center"/>
            <w:tcMar>
              <w:top w:w="90" w:type="dxa"/>
              <w:start w:w="110" w:type="dxa"/>
              <w:bottom w:w="90" w:type="dxa"/>
              <w:end w:w="110" w:type="dxa"/>
            </w:tcMar>
            <w:shd w:fill="F4F7FA"/>
          </w:tcPr>
          <w:p>
            <w:pPr>
              <w:keepNext/>
              <w:spacing w:after="0" w:line="240" w:lineRule="auto"/>
              <w:jc w:val="left"/>
            </w:pPr>
            <w:r>
              <w:rPr>
                <w:sz w:val="15"/>
              </w:rPr>
              <w:t>Zones 2-4</w:t>
            </w:r>
          </w:p>
        </w:tc>
        <w:tc>
          <w:tcPr>
            <w:tcW w:type="dxa" w:w="5159"/>
            <w:vAlign w:val="center"/>
            <w:tcMar>
              <w:top w:w="90" w:type="dxa"/>
              <w:start w:w="110" w:type="dxa"/>
              <w:bottom w:w="90" w:type="dxa"/>
              <w:end w:w="110" w:type="dxa"/>
            </w:tcMar>
            <w:shd w:fill="F4F7FA"/>
          </w:tcPr>
          <w:p>
            <w:pPr>
              <w:keepNext/>
              <w:spacing w:after="0" w:line="240" w:lineRule="auto"/>
              <w:jc w:val="center"/>
            </w:pPr>
            <w:r>
              <w:rPr>
                <w:sz w:val="15"/>
              </w:rPr>
              <w:t>0=q(i-1)S(i-1)+fiQS0-qiSi-kappa ViSi</w:t>
            </w:r>
          </w:p>
        </w:tc>
        <w:tc>
          <w:tcPr>
            <w:tcW w:type="dxa" w:w="3345"/>
            <w:vAlign w:val="center"/>
            <w:tcMar>
              <w:top w:w="90" w:type="dxa"/>
              <w:start w:w="110" w:type="dxa"/>
              <w:bottom w:w="90" w:type="dxa"/>
              <w:end w:w="110" w:type="dxa"/>
            </w:tcMar>
            <w:shd w:fill="F4F7FA"/>
          </w:tcPr>
          <w:p>
            <w:pPr>
              <w:keepNext/>
              <w:spacing w:after="0" w:line="240" w:lineRule="auto"/>
              <w:jc w:val="center"/>
            </w:pPr>
            <w:r>
              <w:rPr>
                <w:sz w:val="15"/>
              </w:rPr>
              <w:t>i=2,3,4; Vi=0.50 MG</w:t>
            </w:r>
          </w:p>
        </w:tc>
      </w:tr>
      <w:tr>
        <w:tc>
          <w:tcPr>
            <w:tcW w:type="dxa" w:w="1757"/>
            <w:vAlign w:val="center"/>
            <w:tcMar>
              <w:top w:w="90" w:type="dxa"/>
              <w:start w:w="110" w:type="dxa"/>
              <w:bottom w:w="90" w:type="dxa"/>
              <w:end w:w="110" w:type="dxa"/>
            </w:tcMar>
          </w:tcPr>
          <w:p>
            <w:pPr>
              <w:keepNext/>
              <w:spacing w:after="0" w:line="240" w:lineRule="auto"/>
              <w:jc w:val="left"/>
            </w:pPr>
            <w:r>
              <w:rPr>
                <w:sz w:val="15"/>
              </w:rPr>
              <w:t>Cumulative flow</w:t>
            </w:r>
          </w:p>
        </w:tc>
        <w:tc>
          <w:tcPr>
            <w:tcW w:type="dxa" w:w="5159"/>
            <w:vAlign w:val="center"/>
            <w:tcMar>
              <w:top w:w="90" w:type="dxa"/>
              <w:start w:w="110" w:type="dxa"/>
              <w:bottom w:w="90" w:type="dxa"/>
              <w:end w:w="110" w:type="dxa"/>
            </w:tcMar>
          </w:tcPr>
          <w:p>
            <w:pPr>
              <w:keepNext/>
              <w:spacing w:after="0" w:line="240" w:lineRule="auto"/>
              <w:jc w:val="center"/>
            </w:pPr>
            <w:r>
              <w:rPr>
                <w:sz w:val="15"/>
              </w:rPr>
              <w:t>qi=Q(R+sum[j&lt;=i]fj)</w:t>
            </w:r>
          </w:p>
        </w:tc>
        <w:tc>
          <w:tcPr>
            <w:tcW w:type="dxa" w:w="3345"/>
            <w:vAlign w:val="center"/>
            <w:tcMar>
              <w:top w:w="90" w:type="dxa"/>
              <w:start w:w="110" w:type="dxa"/>
              <w:bottom w:w="90" w:type="dxa"/>
              <w:end w:w="110" w:type="dxa"/>
            </w:tcMar>
          </w:tcPr>
          <w:p>
            <w:pPr>
              <w:keepNext/>
              <w:spacing w:after="0" w:line="240" w:lineRule="auto"/>
              <w:jc w:val="center"/>
            </w:pPr>
            <w:r>
              <w:rPr>
                <w:sz w:val="15"/>
              </w:rPr>
              <w:t>Step feed plus RAS</w:t>
            </w:r>
          </w:p>
        </w:tc>
      </w:tr>
      <w:tr>
        <w:tc>
          <w:tcPr>
            <w:tcW w:type="dxa" w:w="1757"/>
            <w:vAlign w:val="center"/>
            <w:tcMar>
              <w:top w:w="90" w:type="dxa"/>
              <w:start w:w="110" w:type="dxa"/>
              <w:bottom w:w="90" w:type="dxa"/>
              <w:end w:w="110" w:type="dxa"/>
            </w:tcMar>
            <w:shd w:fill="F4F7FA"/>
          </w:tcPr>
          <w:p>
            <w:pPr>
              <w:keepNext/>
              <w:spacing w:after="0" w:line="240" w:lineRule="auto"/>
              <w:jc w:val="left"/>
            </w:pPr>
            <w:r>
              <w:rPr>
                <w:sz w:val="15"/>
              </w:rPr>
              <w:t>Calibration</w:t>
            </w:r>
          </w:p>
        </w:tc>
        <w:tc>
          <w:tcPr>
            <w:tcW w:type="dxa" w:w="5159"/>
            <w:vAlign w:val="center"/>
            <w:tcMar>
              <w:top w:w="90" w:type="dxa"/>
              <w:start w:w="110" w:type="dxa"/>
              <w:bottom w:w="90" w:type="dxa"/>
              <w:end w:w="110" w:type="dxa"/>
            </w:tcMar>
            <w:shd w:fill="F4F7FA"/>
          </w:tcPr>
          <w:p>
            <w:pPr>
              <w:keepNext/>
              <w:spacing w:after="0" w:line="240" w:lineRule="auto"/>
              <w:jc w:val="center"/>
            </w:pPr>
            <w:r>
              <w:rPr>
                <w:sz w:val="15"/>
              </w:rPr>
              <w:t>kappa=Q(S0-Se)/(VSe)=61.27 d^-1</w:t>
            </w:r>
          </w:p>
        </w:tc>
        <w:tc>
          <w:tcPr>
            <w:tcW w:type="dxa" w:w="3345"/>
            <w:vAlign w:val="center"/>
            <w:tcMar>
              <w:top w:w="90" w:type="dxa"/>
              <w:start w:w="110" w:type="dxa"/>
              <w:bottom w:w="90" w:type="dxa"/>
              <w:end w:w="110" w:type="dxa"/>
            </w:tcMar>
            <w:shd w:fill="F4F7FA"/>
          </w:tcPr>
          <w:p>
            <w:pPr>
              <w:keepNext/>
              <w:spacing w:after="0" w:line="240" w:lineRule="auto"/>
              <w:jc w:val="center"/>
            </w:pPr>
            <w:r>
              <w:rPr>
                <w:sz w:val="15"/>
              </w:rPr>
              <w:t>One-point aggregate calibration</w:t>
            </w:r>
          </w:p>
        </w:tc>
      </w:tr>
      <w:tr>
        <w:tc>
          <w:tcPr>
            <w:tcW w:type="dxa" w:w="1757"/>
            <w:vAlign w:val="center"/>
            <w:tcMar>
              <w:top w:w="90" w:type="dxa"/>
              <w:start w:w="110" w:type="dxa"/>
              <w:bottom w:w="90" w:type="dxa"/>
              <w:end w:w="110" w:type="dxa"/>
            </w:tcMar>
          </w:tcPr>
          <w:p>
            <w:pPr>
              <w:keepNext/>
              <w:spacing w:after="0" w:line="240" w:lineRule="auto"/>
              <w:jc w:val="left"/>
            </w:pPr>
            <w:r>
              <w:rPr>
                <w:sz w:val="15"/>
              </w:rPr>
              <w:t>BOD removed</w:t>
            </w:r>
          </w:p>
        </w:tc>
        <w:tc>
          <w:tcPr>
            <w:tcW w:type="dxa" w:w="5159"/>
            <w:vAlign w:val="center"/>
            <w:tcMar>
              <w:top w:w="90" w:type="dxa"/>
              <w:start w:w="110" w:type="dxa"/>
              <w:bottom w:w="90" w:type="dxa"/>
              <w:end w:w="110" w:type="dxa"/>
            </w:tcMar>
          </w:tcPr>
          <w:p>
            <w:pPr>
              <w:keepNext/>
              <w:spacing w:after="0" w:line="240" w:lineRule="auto"/>
              <w:jc w:val="center"/>
            </w:pPr>
            <w:r>
              <w:rPr>
                <w:sz w:val="15"/>
              </w:rPr>
              <w:t>DeltaLi=8.34 kappa Vi Si</w:t>
            </w:r>
          </w:p>
        </w:tc>
        <w:tc>
          <w:tcPr>
            <w:tcW w:type="dxa" w:w="3345"/>
            <w:vAlign w:val="center"/>
            <w:tcMar>
              <w:top w:w="90" w:type="dxa"/>
              <w:start w:w="110" w:type="dxa"/>
              <w:bottom w:w="90" w:type="dxa"/>
              <w:end w:w="110" w:type="dxa"/>
            </w:tcMar>
          </w:tcPr>
          <w:p>
            <w:pPr>
              <w:keepNext/>
              <w:spacing w:after="0" w:line="240" w:lineRule="auto"/>
              <w:jc w:val="center"/>
            </w:pPr>
            <w:r>
              <w:rPr>
                <w:sz w:val="15"/>
              </w:rPr>
              <w:t>lb BOD5/d</w:t>
            </w:r>
          </w:p>
        </w:tc>
      </w:tr>
      <w:tr>
        <w:tc>
          <w:tcPr>
            <w:tcW w:type="dxa" w:w="1757"/>
            <w:vAlign w:val="center"/>
            <w:tcMar>
              <w:top w:w="90" w:type="dxa"/>
              <w:start w:w="110" w:type="dxa"/>
              <w:bottom w:w="90" w:type="dxa"/>
              <w:end w:w="110" w:type="dxa"/>
            </w:tcMar>
            <w:shd w:fill="F4F7FA"/>
          </w:tcPr>
          <w:p>
            <w:pPr>
              <w:keepNext/>
              <w:spacing w:after="0" w:line="240" w:lineRule="auto"/>
              <w:jc w:val="left"/>
            </w:pPr>
            <w:r>
              <w:rPr>
                <w:sz w:val="15"/>
              </w:rPr>
              <w:t>Zone oxygen</w:t>
            </w:r>
          </w:p>
        </w:tc>
        <w:tc>
          <w:tcPr>
            <w:tcW w:type="dxa" w:w="5159"/>
            <w:vAlign w:val="center"/>
            <w:tcMar>
              <w:top w:w="90" w:type="dxa"/>
              <w:start w:w="110" w:type="dxa"/>
              <w:bottom w:w="90" w:type="dxa"/>
              <w:end w:w="110" w:type="dxa"/>
            </w:tcMar>
            <w:shd w:fill="F4F7FA"/>
          </w:tcPr>
          <w:p>
            <w:pPr>
              <w:keepNext/>
              <w:spacing w:after="0" w:line="240" w:lineRule="auto"/>
              <w:jc w:val="center"/>
            </w:pPr>
            <w:r>
              <w:rPr>
                <w:sz w:val="15"/>
              </w:rPr>
              <w:t>Oi=1.1 DeltaLi+Obackground/4</w:t>
            </w:r>
          </w:p>
        </w:tc>
        <w:tc>
          <w:tcPr>
            <w:tcW w:type="dxa" w:w="3345"/>
            <w:vAlign w:val="center"/>
            <w:tcMar>
              <w:top w:w="90" w:type="dxa"/>
              <w:start w:w="110" w:type="dxa"/>
              <w:bottom w:w="90" w:type="dxa"/>
              <w:end w:w="110" w:type="dxa"/>
            </w:tcMar>
            <w:shd w:fill="F4F7FA"/>
          </w:tcPr>
          <w:p>
            <w:pPr>
              <w:keepNext/>
              <w:spacing w:after="0" w:line="240" w:lineRule="auto"/>
              <w:jc w:val="center"/>
            </w:pPr>
            <w:r>
              <w:rPr>
                <w:sz w:val="15"/>
              </w:rPr>
              <w:t>Screening oxygen allocation</w:t>
            </w:r>
          </w:p>
        </w:tc>
      </w:tr>
      <w:tr>
        <w:tc>
          <w:tcPr>
            <w:tcW w:type="dxa" w:w="1757"/>
            <w:vAlign w:val="center"/>
            <w:tcMar>
              <w:top w:w="90" w:type="dxa"/>
              <w:start w:w="110" w:type="dxa"/>
              <w:bottom w:w="90" w:type="dxa"/>
              <w:end w:w="110" w:type="dxa"/>
            </w:tcMar>
          </w:tcPr>
          <w:p>
            <w:pPr>
              <w:spacing w:after="0" w:line="240" w:lineRule="auto"/>
              <w:jc w:val="left"/>
            </w:pPr>
            <w:r>
              <w:rPr>
                <w:sz w:val="15"/>
              </w:rPr>
              <w:t>Objective</w:t>
            </w:r>
          </w:p>
        </w:tc>
        <w:tc>
          <w:tcPr>
            <w:tcW w:type="dxa" w:w="5159"/>
            <w:vAlign w:val="center"/>
            <w:tcMar>
              <w:top w:w="90" w:type="dxa"/>
              <w:start w:w="110" w:type="dxa"/>
              <w:bottom w:w="90" w:type="dxa"/>
              <w:end w:w="110" w:type="dxa"/>
            </w:tcMar>
          </w:tcPr>
          <w:p>
            <w:pPr>
              <w:spacing w:after="0" w:line="240" w:lineRule="auto"/>
              <w:jc w:val="center"/>
            </w:pPr>
            <w:r>
              <w:rPr>
                <w:sz w:val="15"/>
              </w:rPr>
              <w:t>0.50 Se/15+0.30P+0.15CV+0.05 Ototal/15600</w:t>
            </w:r>
          </w:p>
        </w:tc>
        <w:tc>
          <w:tcPr>
            <w:tcW w:type="dxa" w:w="3345"/>
            <w:vAlign w:val="center"/>
            <w:tcMar>
              <w:top w:w="90" w:type="dxa"/>
              <w:start w:w="110" w:type="dxa"/>
              <w:bottom w:w="90" w:type="dxa"/>
              <w:end w:w="110" w:type="dxa"/>
            </w:tcMar>
          </w:tcPr>
          <w:p>
            <w:pPr>
              <w:spacing w:after="0" w:line="240" w:lineRule="auto"/>
              <w:jc w:val="center"/>
            </w:pPr>
            <w:r>
              <w:rPr>
                <w:sz w:val="15"/>
              </w:rPr>
              <w:t>P and CV defined below</w:t>
            </w:r>
          </w:p>
        </w:tc>
      </w:tr>
    </w:tbl>
    <w:p>
      <w:pPr>
        <w:spacing w:before="0" w:after="0" w:line="240" w:lineRule="auto"/>
      </w:pPr>
      <w:r>
        <w:rPr>
          <w:sz w:val="18"/>
        </w:rPr>
      </w:r>
    </w:p>
    <w:p>
      <w:pPr>
        <w:spacing w:before="0" w:after="0" w:line="240" w:lineRule="auto"/>
      </w:pPr>
      <w:r>
        <w:rPr>
          <w:sz w:val="18"/>
        </w:rPr>
      </w:r>
    </w:p>
    <w:p>
      <w:pPr>
        <w:tabs>
          <w:tab w:pos="5102" w:val="center"/>
          <w:tab w:pos="10205" w:val="right"/>
        </w:tabs>
        <w:spacing w:before="0" w:after="0"/>
      </w:pPr>
      <w:r>
        <w:tab/>
      </w:r>
      <w:r>
        <w:rPr>
          <w:rFonts w:ascii="Cambria Math" w:hAnsi="Cambria Math"/>
          <w:sz w:val="20"/>
        </w:rPr>
        <w:t>O_bar=(sum O_i)/4;  P=max(O_i)/O_bar;  CV=sqrt[sum(O_i-O_bar)^2/4]/O_bar</w:t>
      </w:r>
      <w:r>
        <w:tab/>
      </w:r>
      <w:r>
        <w:rPr>
          <w:rFonts w:ascii="Arial" w:hAnsi="Arial"/>
          <w:sz w:val="18"/>
        </w:rPr>
        <w:t>(4)</w:t>
      </w:r>
    </w:p>
    <w:p>
      <w:pPr>
        <w:spacing w:before="0" w:after="0" w:line="240" w:lineRule="auto"/>
      </w:pPr>
      <w:r>
        <w:rPr>
          <w:sz w:val="18"/>
        </w:rPr>
      </w:r>
    </w:p>
    <w:p>
      <w:pPr>
        <w:pStyle w:val="Heading2"/>
        <w:spacing w:before="40" w:after="80"/>
      </w:pPr>
      <w:r>
        <w:rPr>
          <w:color w:val="0F766E"/>
        </w:rPr>
        <w:t>Reproducible background oxygen term</w:t>
      </w:r>
    </w:p>
    <w:p>
      <w:pPr>
        <w:spacing w:before="0" w:after="0" w:line="240" w:lineRule="auto"/>
      </w:pPr>
      <w:r>
        <w:rPr>
          <w:sz w:val="18"/>
        </w:rPr>
      </w:r>
    </w:p>
    <w:p>
      <w:pPr>
        <w:tabs>
          <w:tab w:pos="5102" w:val="center"/>
          <w:tab w:pos="10205" w:val="right"/>
        </w:tabs>
        <w:spacing w:before="0" w:after="0"/>
      </w:pPr>
      <w:r>
        <w:tab/>
      </w:r>
      <w:r>
        <w:rPr>
          <w:rFonts w:ascii="Cambria Math" w:hAnsi="Cambria Math"/>
          <w:sz w:val="20"/>
        </w:rPr>
        <w:t>O_background = 15,400 - 1.1 sum(DeltaL_i,equal) = 3,034.57 lb O2/d</w:t>
      </w:r>
      <w:r>
        <w:tab/>
      </w:r>
      <w:r>
        <w:rPr>
          <w:rFonts w:ascii="Arial" w:hAnsi="Arial"/>
          <w:sz w:val="18"/>
        </w:rPr>
        <w:t>(5)</w:t>
      </w:r>
    </w:p>
    <w:p>
      <w:pPr>
        <w:spacing w:before="0" w:after="0" w:line="240" w:lineRule="auto"/>
      </w:pPr>
      <w:r>
        <w:rPr>
          <w:sz w:val="18"/>
        </w:rPr>
      </w:r>
    </w:p>
    <w:p>
      <w:pPr>
        <w:spacing w:line="480" w:lineRule="auto" w:after="40"/>
      </w:pPr>
      <w:r>
        <w:rPr>
          <w:rFonts w:ascii="Arial" w:hAnsi="Arial"/>
          <w:sz w:val="17"/>
        </w:rPr>
        <w:t>The residual is divided equally among the four zones and held constant for every candidate. It is a bookkeeping term chosen so that the equal-split calibration case totals 15,400 lb O2/d. It does not model nitrification, endogenous respiration, alpha-factor variation or changing process conditions; therefore both the oxygen constraint and energy estimate remain screening calculations.</w:t>
      </w:r>
    </w:p>
    <w:p>
      <w:pPr>
        <w:pStyle w:val="Heading2"/>
        <w:spacing w:before="40" w:after="80"/>
      </w:pPr>
      <w:r>
        <w:rPr>
          <w:color w:val="0F766E"/>
        </w:rPr>
        <w:t>Machine-learning method and verification</w:t>
      </w:r>
    </w:p>
    <w:p>
      <w:pPr>
        <w:spacing w:line="480" w:lineRule="auto" w:after="40"/>
      </w:pPr>
      <w:r>
        <w:rPr>
          <w:rFonts w:ascii="Arial" w:hAnsi="Arial"/>
          <w:sz w:val="17"/>
        </w:rPr>
        <w:t>Halton points are mapped to the four-part simplex by exponential normalization. Q, S0 and R span 3.5-8.0 MGD, 200-360 mg/L and 0.30-0.60. Inputs [f1,f2,f3,Q,S0,R] are standardized; f4 is dependent. Cubic polynomial ridge regression is selected after comparison with k-nearest neighbours and random Fourier features. The multi-output targets are soluble effluent BOD, four zone oxygen demands and total oxygen demand.</w:t>
      </w:r>
    </w:p>
    <w:p>
      <w:pPr>
        <w:spacing w:before="0" w:after="0" w:line="240" w:lineRule="auto"/>
      </w:pPr>
      <w:r>
        <w:rPr>
          <w:sz w:val="18"/>
        </w:rPr>
      </w:r>
    </w:p>
    <w:p>
      <w:pPr>
        <w:tabs>
          <w:tab w:pos="5102" w:val="center"/>
          <w:tab w:pos="10205" w:val="right"/>
        </w:tabs>
        <w:spacing w:before="0" w:after="0"/>
      </w:pPr>
      <w:r>
        <w:tab/>
      </w:r>
      <w:r>
        <w:rPr>
          <w:rFonts w:ascii="Cambria Math" w:hAnsi="Cambria Math"/>
          <w:sz w:val="20"/>
        </w:rPr>
        <w:t>beta=(Phi^T Phi + 10^-6 I)^-1 Phi^T y;  Phi contains all standardized terms through degree 3</w:t>
      </w:r>
      <w:r>
        <w:tab/>
      </w:r>
      <w:r>
        <w:rPr>
          <w:rFonts w:ascii="Arial" w:hAnsi="Arial"/>
          <w:sz w:val="18"/>
        </w:rPr>
        <w:t>(6)</w:t>
      </w:r>
    </w:p>
    <w:p>
      <w:pPr>
        <w:spacing w:before="0" w:after="0" w:line="240" w:lineRule="auto"/>
      </w:pPr>
      <w:r>
        <w:rPr>
          <w:sz w:val="18"/>
        </w:rPr>
      </w:r>
    </w:p>
    <w:p>
      <w:pPr>
        <w:spacing w:before="0" w:after="0" w:line="240" w:lineRule="auto"/>
      </w:pPr>
      <w:r>
        <w:rPr>
          <w:sz w:val="18"/>
        </w:rPr>
      </w:r>
    </w:p>
    <w:tbl>
      <w:tblPr>
        <w:tblStyle w:val="TableGrid"/>
        <w:tblW w:type="auto" w:w="0"/>
        <w:jc w:val="center"/>
        <w:tblLayout w:type="fixed"/>
        <w:tblLook w:firstColumn="1" w:firstRow="1" w:lastColumn="0" w:lastRow="0" w:noHBand="0" w:noVBand="1" w:val="04A0"/>
      </w:tblPr>
      <w:tblGrid>
        <w:gridCol w:w="2075"/>
        <w:gridCol w:w="2075"/>
        <w:gridCol w:w="2075"/>
        <w:gridCol w:w="2075"/>
        <w:gridCol w:w="2075"/>
      </w:tblGrid>
      <w:tr>
        <w:trPr>
          <w:tblHeader w:val="true"/>
        </w:trPr>
        <w:tc>
          <w:tcPr>
            <w:tcW w:type="dxa" w:w="1701"/>
            <w:shd w:fill="17324D"/>
            <w:vAlign w:val="center"/>
            <w:tcMar>
              <w:top w:w="90" w:type="dxa"/>
              <w:start w:w="110" w:type="dxa"/>
              <w:bottom w:w="90" w:type="dxa"/>
              <w:end w:w="110" w:type="dxa"/>
            </w:tcMar>
          </w:tcPr>
          <w:p>
            <w:pPr>
              <w:keepNext/>
              <w:jc w:val="center"/>
            </w:pPr>
            <w:r>
              <w:rPr>
                <w:b/>
                <w:color w:val="FFFFFF"/>
                <w:sz w:val="15"/>
              </w:rPr>
              <w:t>Training labels</w:t>
            </w:r>
          </w:p>
        </w:tc>
        <w:tc>
          <w:tcPr>
            <w:tcW w:type="dxa" w:w="2381"/>
            <w:shd w:fill="17324D"/>
            <w:vAlign w:val="center"/>
            <w:tcMar>
              <w:top w:w="90" w:type="dxa"/>
              <w:start w:w="110" w:type="dxa"/>
              <w:bottom w:w="90" w:type="dxa"/>
              <w:end w:w="110" w:type="dxa"/>
            </w:tcMar>
          </w:tcPr>
          <w:p>
            <w:pPr>
              <w:keepNext/>
              <w:jc w:val="center"/>
            </w:pPr>
            <w:r>
              <w:rPr>
                <w:b/>
                <w:color w:val="FFFFFF"/>
                <w:sz w:val="15"/>
              </w:rPr>
              <w:t>Fixed test</w:t>
            </w:r>
          </w:p>
        </w:tc>
        <w:tc>
          <w:tcPr>
            <w:tcW w:type="dxa" w:w="1814"/>
            <w:shd w:fill="17324D"/>
            <w:vAlign w:val="center"/>
            <w:tcMar>
              <w:top w:w="90" w:type="dxa"/>
              <w:start w:w="110" w:type="dxa"/>
              <w:bottom w:w="90" w:type="dxa"/>
              <w:end w:w="110" w:type="dxa"/>
            </w:tcMar>
          </w:tcPr>
          <w:p>
            <w:pPr>
              <w:keepNext/>
              <w:jc w:val="center"/>
            </w:pPr>
            <w:r>
              <w:rPr>
                <w:b/>
                <w:color w:val="FFFFFF"/>
                <w:sz w:val="15"/>
              </w:rPr>
              <w:t>BOD RMSE</w:t>
            </w:r>
          </w:p>
        </w:tc>
        <w:tc>
          <w:tcPr>
            <w:tcW w:type="dxa" w:w="2154"/>
            <w:shd w:fill="17324D"/>
            <w:vAlign w:val="center"/>
            <w:tcMar>
              <w:top w:w="90" w:type="dxa"/>
              <w:start w:w="110" w:type="dxa"/>
              <w:bottom w:w="90" w:type="dxa"/>
              <w:end w:w="110" w:type="dxa"/>
            </w:tcMar>
          </w:tcPr>
          <w:p>
            <w:pPr>
              <w:keepNext/>
              <w:jc w:val="center"/>
            </w:pPr>
            <w:r>
              <w:rPr>
                <w:b/>
                <w:color w:val="FFFFFF"/>
                <w:sz w:val="15"/>
              </w:rPr>
              <w:t>Zone-O2 RMSE</w:t>
            </w:r>
          </w:p>
        </w:tc>
        <w:tc>
          <w:tcPr>
            <w:tcW w:type="dxa" w:w="2268"/>
            <w:shd w:fill="17324D"/>
            <w:vAlign w:val="center"/>
            <w:tcMar>
              <w:top w:w="90" w:type="dxa"/>
              <w:start w:w="110" w:type="dxa"/>
              <w:bottom w:w="90" w:type="dxa"/>
              <w:end w:w="110" w:type="dxa"/>
            </w:tcMar>
          </w:tcPr>
          <w:p>
            <w:pPr>
              <w:keepNext/>
              <w:jc w:val="center"/>
            </w:pPr>
            <w:r>
              <w:rPr>
                <w:b/>
                <w:color w:val="FFFFFF"/>
                <w:sz w:val="15"/>
              </w:rPr>
              <w:t>Decision stability</w:t>
            </w:r>
          </w:p>
        </w:tc>
      </w:tr>
      <w:tr>
        <w:tc>
          <w:tcPr>
            <w:tcW w:type="dxa" w:w="1701"/>
            <w:vAlign w:val="center"/>
            <w:tcMar>
              <w:top w:w="90" w:type="dxa"/>
              <w:start w:w="110" w:type="dxa"/>
              <w:bottom w:w="90" w:type="dxa"/>
              <w:end w:w="110" w:type="dxa"/>
            </w:tcMar>
          </w:tcPr>
          <w:p>
            <w:pPr>
              <w:spacing w:after="0" w:line="240" w:lineRule="auto"/>
              <w:jc w:val="left"/>
            </w:pPr>
            <w:r>
              <w:rPr>
                <w:sz w:val="15"/>
              </w:rPr>
              <w:t>4,096</w:t>
            </w:r>
          </w:p>
        </w:tc>
        <w:tc>
          <w:tcPr>
            <w:tcW w:type="dxa" w:w="2381"/>
            <w:vAlign w:val="center"/>
            <w:tcMar>
              <w:top w:w="90" w:type="dxa"/>
              <w:start w:w="110" w:type="dxa"/>
              <w:bottom w:w="90" w:type="dxa"/>
              <w:end w:w="110" w:type="dxa"/>
            </w:tcMar>
          </w:tcPr>
          <w:p>
            <w:pPr>
              <w:spacing w:after="0" w:line="240" w:lineRule="auto"/>
              <w:jc w:val="center"/>
            </w:pPr>
            <w:r>
              <w:rPr>
                <w:sz w:val="15"/>
              </w:rPr>
              <w:t>2,048 cases; 5 blocks</w:t>
            </w:r>
          </w:p>
        </w:tc>
        <w:tc>
          <w:tcPr>
            <w:tcW w:type="dxa" w:w="1814"/>
            <w:vAlign w:val="center"/>
            <w:tcMar>
              <w:top w:w="90" w:type="dxa"/>
              <w:start w:w="110" w:type="dxa"/>
              <w:bottom w:w="90" w:type="dxa"/>
              <w:end w:w="110" w:type="dxa"/>
            </w:tcMar>
          </w:tcPr>
          <w:p>
            <w:pPr>
              <w:spacing w:after="0" w:line="240" w:lineRule="auto"/>
              <w:jc w:val="center"/>
            </w:pPr>
            <w:r>
              <w:rPr>
                <w:sz w:val="15"/>
              </w:rPr>
              <w:t>0.0192 mg/L</w:t>
            </w:r>
          </w:p>
        </w:tc>
        <w:tc>
          <w:tcPr>
            <w:tcW w:type="dxa" w:w="2154"/>
            <w:vAlign w:val="center"/>
            <w:tcMar>
              <w:top w:w="90" w:type="dxa"/>
              <w:start w:w="110" w:type="dxa"/>
              <w:bottom w:w="90" w:type="dxa"/>
              <w:end w:w="110" w:type="dxa"/>
            </w:tcMar>
          </w:tcPr>
          <w:p>
            <w:pPr>
              <w:spacing w:after="0" w:line="240" w:lineRule="auto"/>
              <w:jc w:val="center"/>
            </w:pPr>
            <w:r>
              <w:rPr>
                <w:sz w:val="15"/>
              </w:rPr>
              <w:t>7.27 lb/d</w:t>
            </w:r>
          </w:p>
        </w:tc>
        <w:tc>
          <w:tcPr>
            <w:tcW w:type="dxa" w:w="2268"/>
            <w:vAlign w:val="center"/>
            <w:tcMar>
              <w:top w:w="90" w:type="dxa"/>
              <w:start w:w="110" w:type="dxa"/>
              <w:bottom w:w="90" w:type="dxa"/>
              <w:end w:w="110" w:type="dxa"/>
            </w:tcMar>
          </w:tcPr>
          <w:p>
            <w:pPr>
              <w:spacing w:after="0" w:line="240" w:lineRule="auto"/>
              <w:jc w:val="center"/>
            </w:pPr>
            <w:r>
              <w:rPr>
                <w:sz w:val="15"/>
              </w:rPr>
              <w:t>Same split as 8,192</w:t>
            </w:r>
          </w:p>
        </w:tc>
      </w:tr>
    </w:tbl>
    <w:p>
      <w:pPr>
        <w:spacing w:before="0" w:after="0" w:line="240" w:lineRule="auto"/>
      </w:pPr>
      <w:r>
        <w:rPr>
          <w:sz w:val="18"/>
        </w:rPr>
      </w:r>
    </w:p>
    <w:p>
      <w:pPr>
        <w:spacing w:line="480" w:lineRule="auto" w:after="40"/>
      </w:pPr>
      <w:r>
        <w:rPr>
          <w:rFonts w:ascii="Arial" w:hAnsi="Arial"/>
          <w:sz w:val="17"/>
        </w:rPr>
        <w:t>At 8,192 labels the errors become 0.0191 mg/L and 7.21 lb/d: small non-monotonic fluctuations are expected across low-discrepancy blocks, while the recommendation is unchanged. Thus 4,096 is sufficient only for this surrogate, sampled range and mechanistic label generator. Low RMSE proves imitation of the assumed model, not accuracy at a real wastewater plant. The accompanying HU_TONGYU_MA_DINGNA_Code_Data.zip provides the scripts, sampled-result tables, units, standardization, fixed-test settings and reproduction steps.</w:t>
      </w:r>
    </w:p>
    <w:p>
      <w:pPr>
        <w:pStyle w:val="Heading1"/>
        <w:spacing w:before="80" w:after="80"/>
      </w:pPr>
      <w:r>
        <w:rPr>
          <w:color w:val="17324D"/>
        </w:rPr>
        <w:t>3  Design-space result and engineering reveal</w:t>
      </w:r>
    </w:p>
    <w:p>
      <w:pPr>
        <w:jc w:val="center"/>
      </w:pPr>
      <w:r>
        <w:drawing>
          <wp:inline xmlns:a="http://schemas.openxmlformats.org/drawingml/2006/main" xmlns:pic="http://schemas.openxmlformats.org/drawingml/2006/picture">
            <wp:extent cx="6120000" cy="6448255"/>
            <wp:docPr id="1" name="Picture 1"/>
            <wp:cNvGraphicFramePr>
              <a:graphicFrameLocks noChangeAspect="1"/>
            </wp:cNvGraphicFramePr>
            <a:graphic>
              <a:graphicData uri="http://schemas.openxmlformats.org/drawingml/2006/picture">
                <pic:pic>
                  <pic:nvPicPr>
                    <pic:cNvPr id="0" name="capacity_value_curve.png"/>
                    <pic:cNvPicPr/>
                  </pic:nvPicPr>
                  <pic:blipFill>
                    <a:blip r:embed="rId10"/>
                    <a:stretch>
                      <a:fillRect/>
                    </a:stretch>
                  </pic:blipFill>
                  <pic:spPr>
                    <a:xfrm>
                      <a:off x="0" y="0"/>
                      <a:ext cx="6120000" cy="6448255"/>
                    </a:xfrm>
                    <a:prstGeom prst="rect"/>
                  </pic:spPr>
                </pic:pic>
              </a:graphicData>
            </a:graphic>
          </wp:inline>
        </w:drawing>
      </w:r>
    </w:p>
    <w:p>
      <w:pPr>
        <w:spacing w:before="20" w:after="80"/>
        <w:jc w:val="center"/>
      </w:pPr>
      <w:r>
        <w:rPr>
          <w:i/>
          <w:color w:val="475569"/>
          <w:sz w:val="16"/>
        </w:rPr>
        <w:t>Figure 1. A shows the screened BOD-oxygen design space and the diagnostic Zone-4-controlled band. B shows the minimum-soluble-BOD frontier as assumed local capacity C increases. C shows the corresponding four-zone oxygen demands and energy-only annual cost, calculated at 1.7 kg O2/kWh and $0.10/kWh.</w:t>
      </w:r>
    </w:p>
    <w:p>
      <w:pPr>
        <w:spacing w:before="0" w:after="0" w:line="240" w:lineRule="auto"/>
      </w:pPr>
      <w:r>
        <w:rPr>
          <w:sz w:val="18"/>
        </w:rPr>
      </w:r>
    </w:p>
    <w:tbl>
      <w:tblPr>
        <w:tblStyle w:val="TableGrid"/>
        <w:tblW w:type="auto" w:w="0"/>
        <w:jc w:val="center"/>
        <w:tblLayout w:type="fixed"/>
        <w:tblLook w:firstColumn="1" w:firstRow="1" w:lastColumn="0" w:lastRow="0" w:noHBand="0" w:noVBand="1" w:val="04A0"/>
      </w:tblPr>
      <w:tblGrid>
        <w:gridCol w:w="2075"/>
        <w:gridCol w:w="2075"/>
        <w:gridCol w:w="2075"/>
        <w:gridCol w:w="2075"/>
        <w:gridCol w:w="2075"/>
      </w:tblGrid>
      <w:tr>
        <w:trPr>
          <w:tblHeader w:val="true"/>
        </w:trPr>
        <w:tc>
          <w:tcPr>
            <w:tcW w:type="dxa" w:w="1814"/>
            <w:shd w:fill="17324D"/>
            <w:vAlign w:val="center"/>
            <w:tcMar>
              <w:top w:w="90" w:type="dxa"/>
              <w:start w:w="110" w:type="dxa"/>
              <w:bottom w:w="90" w:type="dxa"/>
              <w:end w:w="110" w:type="dxa"/>
            </w:tcMar>
          </w:tcPr>
          <w:p>
            <w:pPr>
              <w:keepNext/>
              <w:jc w:val="center"/>
            </w:pPr>
            <w:r>
              <w:rPr>
                <w:b/>
                <w:color w:val="FFFFFF"/>
                <w:sz w:val="14"/>
              </w:rPr>
              <w:t>Case</w:t>
            </w:r>
          </w:p>
        </w:tc>
        <w:tc>
          <w:tcPr>
            <w:tcW w:type="dxa" w:w="2551"/>
            <w:shd w:fill="17324D"/>
            <w:vAlign w:val="center"/>
            <w:tcMar>
              <w:top w:w="90" w:type="dxa"/>
              <w:start w:w="110" w:type="dxa"/>
              <w:bottom w:w="90" w:type="dxa"/>
              <w:end w:w="110" w:type="dxa"/>
            </w:tcMar>
          </w:tcPr>
          <w:p>
            <w:pPr>
              <w:keepNext/>
              <w:jc w:val="center"/>
            </w:pPr>
            <w:r>
              <w:rPr>
                <w:b/>
                <w:color w:val="FFFFFF"/>
                <w:sz w:val="14"/>
              </w:rPr>
              <w:t>Feed split f1/f2/f3/f4 (%)</w:t>
            </w:r>
          </w:p>
        </w:tc>
        <w:tc>
          <w:tcPr>
            <w:tcW w:type="dxa" w:w="1871"/>
            <w:shd w:fill="17324D"/>
            <w:vAlign w:val="center"/>
            <w:tcMar>
              <w:top w:w="90" w:type="dxa"/>
              <w:start w:w="110" w:type="dxa"/>
              <w:bottom w:w="90" w:type="dxa"/>
              <w:end w:w="110" w:type="dxa"/>
            </w:tcMar>
          </w:tcPr>
          <w:p>
            <w:pPr>
              <w:keepNext/>
              <w:jc w:val="center"/>
            </w:pPr>
            <w:r>
              <w:rPr>
                <w:b/>
                <w:color w:val="FFFFFF"/>
                <w:sz w:val="14"/>
              </w:rPr>
              <w:t>Modelled soluble BOD</w:t>
            </w:r>
          </w:p>
        </w:tc>
        <w:tc>
          <w:tcPr>
            <w:tcW w:type="dxa" w:w="2154"/>
            <w:shd w:fill="17324D"/>
            <w:vAlign w:val="center"/>
            <w:tcMar>
              <w:top w:w="90" w:type="dxa"/>
              <w:start w:w="110" w:type="dxa"/>
              <w:bottom w:w="90" w:type="dxa"/>
              <w:end w:w="110" w:type="dxa"/>
            </w:tcMar>
          </w:tcPr>
          <w:p>
            <w:pPr>
              <w:keepNext/>
              <w:jc w:val="center"/>
            </w:pPr>
            <w:r>
              <w:rPr>
                <w:b/>
                <w:color w:val="FFFFFF"/>
                <w:sz w:val="14"/>
              </w:rPr>
              <w:t>Peak / total O2 (lb/d)</w:t>
            </w:r>
          </w:p>
        </w:tc>
        <w:tc>
          <w:tcPr>
            <w:tcW w:type="dxa" w:w="2381"/>
            <w:shd w:fill="17324D"/>
            <w:vAlign w:val="center"/>
            <w:tcMar>
              <w:top w:w="90" w:type="dxa"/>
              <w:start w:w="110" w:type="dxa"/>
              <w:bottom w:w="90" w:type="dxa"/>
              <w:end w:w="110" w:type="dxa"/>
            </w:tcMar>
          </w:tcPr>
          <w:p>
            <w:pPr>
              <w:keepNext/>
              <w:jc w:val="center"/>
            </w:pPr>
            <w:r>
              <w:rPr>
                <w:b/>
                <w:color w:val="FFFFFF"/>
                <w:sz w:val="14"/>
              </w:rPr>
              <w:t>Engineering status</w:t>
            </w:r>
          </w:p>
        </w:tc>
      </w:tr>
      <w:tr>
        <w:tc>
          <w:tcPr>
            <w:tcW w:type="dxa" w:w="1814"/>
            <w:vAlign w:val="center"/>
            <w:tcMar>
              <w:top w:w="90" w:type="dxa"/>
              <w:start w:w="110" w:type="dxa"/>
              <w:bottom w:w="90" w:type="dxa"/>
              <w:end w:w="110" w:type="dxa"/>
            </w:tcMar>
          </w:tcPr>
          <w:p>
            <w:pPr>
              <w:keepNext/>
              <w:spacing w:after="0" w:line="240" w:lineRule="auto"/>
              <w:jc w:val="left"/>
            </w:pPr>
            <w:r>
              <w:rPr>
                <w:sz w:val="14"/>
              </w:rPr>
              <w:t>AI Round 1</w:t>
            </w:r>
          </w:p>
        </w:tc>
        <w:tc>
          <w:tcPr>
            <w:tcW w:type="dxa" w:w="2551"/>
            <w:vAlign w:val="center"/>
            <w:tcMar>
              <w:top w:w="90" w:type="dxa"/>
              <w:start w:w="110" w:type="dxa"/>
              <w:bottom w:w="90" w:type="dxa"/>
              <w:end w:w="110" w:type="dxa"/>
            </w:tcMar>
          </w:tcPr>
          <w:p>
            <w:pPr>
              <w:keepNext/>
              <w:spacing w:after="0" w:line="240" w:lineRule="auto"/>
              <w:jc w:val="center"/>
            </w:pPr>
            <w:r>
              <w:rPr>
                <w:sz w:val="14"/>
              </w:rPr>
              <w:t>30.9/26.9/30.2/12.0</w:t>
            </w:r>
          </w:p>
        </w:tc>
        <w:tc>
          <w:tcPr>
            <w:tcW w:type="dxa" w:w="1871"/>
            <w:vAlign w:val="center"/>
            <w:tcMar>
              <w:top w:w="90" w:type="dxa"/>
              <w:start w:w="110" w:type="dxa"/>
              <w:bottom w:w="90" w:type="dxa"/>
              <w:end w:w="110" w:type="dxa"/>
            </w:tcMar>
          </w:tcPr>
          <w:p>
            <w:pPr>
              <w:keepNext/>
              <w:spacing w:after="0" w:line="240" w:lineRule="auto"/>
              <w:jc w:val="center"/>
            </w:pPr>
            <w:r>
              <w:rPr>
                <w:sz w:val="14"/>
              </w:rPr>
              <w:t>6.69 mg/L</w:t>
            </w:r>
          </w:p>
        </w:tc>
        <w:tc>
          <w:tcPr>
            <w:tcW w:type="dxa" w:w="2154"/>
            <w:vAlign w:val="center"/>
            <w:tcMar>
              <w:top w:w="90" w:type="dxa"/>
              <w:start w:w="110" w:type="dxa"/>
              <w:bottom w:w="90" w:type="dxa"/>
              <w:end w:w="110" w:type="dxa"/>
            </w:tcMar>
          </w:tcPr>
          <w:p>
            <w:pPr>
              <w:keepNext/>
              <w:spacing w:after="0" w:line="240" w:lineRule="auto"/>
              <w:jc w:val="center"/>
            </w:pPr>
            <w:r>
              <w:rPr>
                <w:sz w:val="14"/>
              </w:rPr>
              <w:t>4,426 / 15,598</w:t>
            </w:r>
          </w:p>
        </w:tc>
        <w:tc>
          <w:tcPr>
            <w:tcW w:type="dxa" w:w="2381"/>
            <w:vAlign w:val="center"/>
            <w:tcMar>
              <w:top w:w="90" w:type="dxa"/>
              <w:start w:w="110" w:type="dxa"/>
              <w:bottom w:w="90" w:type="dxa"/>
              <w:end w:w="110" w:type="dxa"/>
            </w:tcMar>
          </w:tcPr>
          <w:p>
            <w:pPr>
              <w:keepNext/>
              <w:spacing w:after="0" w:line="240" w:lineRule="auto"/>
              <w:jc w:val="center"/>
            </w:pPr>
            <w:r>
              <w:rPr>
                <w:sz w:val="14"/>
              </w:rPr>
              <w:t>Aggressive; local capacity unknown</w:t>
            </w:r>
          </w:p>
        </w:tc>
      </w:tr>
      <w:tr>
        <w:tc>
          <w:tcPr>
            <w:tcW w:type="dxa" w:w="1814"/>
            <w:vAlign w:val="center"/>
            <w:tcMar>
              <w:top w:w="90" w:type="dxa"/>
              <w:start w:w="110" w:type="dxa"/>
              <w:bottom w:w="90" w:type="dxa"/>
              <w:end w:w="110" w:type="dxa"/>
            </w:tcMar>
            <w:shd w:fill="F4F7FA"/>
          </w:tcPr>
          <w:p>
            <w:pPr>
              <w:keepNext/>
              <w:spacing w:after="0" w:line="240" w:lineRule="auto"/>
              <w:jc w:val="left"/>
            </w:pPr>
            <w:r>
              <w:rPr>
                <w:sz w:val="14"/>
              </w:rPr>
              <w:t>C=4,200 candidate</w:t>
            </w:r>
          </w:p>
        </w:tc>
        <w:tc>
          <w:tcPr>
            <w:tcW w:type="dxa" w:w="2551"/>
            <w:vAlign w:val="center"/>
            <w:tcMar>
              <w:top w:w="90" w:type="dxa"/>
              <w:start w:w="110" w:type="dxa"/>
              <w:bottom w:w="90" w:type="dxa"/>
              <w:end w:w="110" w:type="dxa"/>
            </w:tcMar>
            <w:shd w:fill="F4F7FA"/>
          </w:tcPr>
          <w:p>
            <w:pPr>
              <w:keepNext/>
              <w:spacing w:after="0" w:line="240" w:lineRule="auto"/>
              <w:jc w:val="center"/>
            </w:pPr>
            <w:r>
              <w:rPr>
                <w:sz w:val="14"/>
              </w:rPr>
              <w:t>28.7/28.0/28.0/15.4</w:t>
            </w:r>
          </w:p>
        </w:tc>
        <w:tc>
          <w:tcPr>
            <w:tcW w:type="dxa" w:w="1871"/>
            <w:vAlign w:val="center"/>
            <w:tcMar>
              <w:top w:w="90" w:type="dxa"/>
              <w:start w:w="110" w:type="dxa"/>
              <w:bottom w:w="90" w:type="dxa"/>
              <w:end w:w="110" w:type="dxa"/>
            </w:tcMar>
            <w:shd w:fill="F4F7FA"/>
          </w:tcPr>
          <w:p>
            <w:pPr>
              <w:keepNext/>
              <w:spacing w:after="0" w:line="240" w:lineRule="auto"/>
              <w:jc w:val="center"/>
            </w:pPr>
            <w:r>
              <w:rPr>
                <w:sz w:val="14"/>
              </w:rPr>
              <w:t>7.79 mg/L</w:t>
            </w:r>
          </w:p>
        </w:tc>
        <w:tc>
          <w:tcPr>
            <w:tcW w:type="dxa" w:w="2154"/>
            <w:vAlign w:val="center"/>
            <w:tcMar>
              <w:top w:w="90" w:type="dxa"/>
              <w:start w:w="110" w:type="dxa"/>
              <w:bottom w:w="90" w:type="dxa"/>
              <w:end w:w="110" w:type="dxa"/>
            </w:tcMar>
            <w:shd w:fill="F4F7FA"/>
          </w:tcPr>
          <w:p>
            <w:pPr>
              <w:keepNext/>
              <w:spacing w:after="0" w:line="240" w:lineRule="auto"/>
              <w:jc w:val="center"/>
            </w:pPr>
            <w:r>
              <w:rPr>
                <w:sz w:val="14"/>
              </w:rPr>
              <w:t>4,200 / 15,547</w:t>
            </w:r>
          </w:p>
        </w:tc>
        <w:tc>
          <w:tcPr>
            <w:tcW w:type="dxa" w:w="2381"/>
            <w:vAlign w:val="center"/>
            <w:tcMar>
              <w:top w:w="90" w:type="dxa"/>
              <w:start w:w="110" w:type="dxa"/>
              <w:bottom w:w="90" w:type="dxa"/>
              <w:end w:w="110" w:type="dxa"/>
            </w:tcMar>
            <w:shd w:fill="F4F7FA"/>
          </w:tcPr>
          <w:p>
            <w:pPr>
              <w:keepNext/>
              <w:spacing w:after="0" w:line="240" w:lineRule="auto"/>
              <w:jc w:val="center"/>
            </w:pPr>
            <w:r>
              <w:rPr>
                <w:sz w:val="14"/>
              </w:rPr>
              <w:t>Pending field validation</w:t>
            </w:r>
          </w:p>
        </w:tc>
      </w:tr>
      <w:tr>
        <w:tc>
          <w:tcPr>
            <w:tcW w:type="dxa" w:w="1814"/>
            <w:vAlign w:val="center"/>
            <w:tcMar>
              <w:top w:w="90" w:type="dxa"/>
              <w:start w:w="110" w:type="dxa"/>
              <w:bottom w:w="90" w:type="dxa"/>
              <w:end w:w="110" w:type="dxa"/>
            </w:tcMar>
          </w:tcPr>
          <w:p>
            <w:pPr>
              <w:spacing w:after="0" w:line="240" w:lineRule="auto"/>
              <w:jc w:val="left"/>
            </w:pPr>
            <w:r>
              <w:rPr>
                <w:sz w:val="14"/>
              </w:rPr>
              <w:t>EPA reveal</w:t>
            </w:r>
          </w:p>
        </w:tc>
        <w:tc>
          <w:tcPr>
            <w:tcW w:type="dxa" w:w="2551"/>
            <w:vAlign w:val="center"/>
            <w:tcMar>
              <w:top w:w="90" w:type="dxa"/>
              <w:start w:w="110" w:type="dxa"/>
              <w:bottom w:w="90" w:type="dxa"/>
              <w:end w:w="110" w:type="dxa"/>
            </w:tcMar>
          </w:tcPr>
          <w:p>
            <w:pPr>
              <w:spacing w:after="0" w:line="240" w:lineRule="auto"/>
              <w:jc w:val="center"/>
            </w:pPr>
            <w:r>
              <w:rPr>
                <w:sz w:val="14"/>
              </w:rPr>
              <w:t>25/25/25/25</w:t>
            </w:r>
          </w:p>
        </w:tc>
        <w:tc>
          <w:tcPr>
            <w:tcW w:type="dxa" w:w="1871"/>
            <w:vAlign w:val="center"/>
            <w:tcMar>
              <w:top w:w="90" w:type="dxa"/>
              <w:start w:w="110" w:type="dxa"/>
              <w:bottom w:w="90" w:type="dxa"/>
              <w:end w:w="110" w:type="dxa"/>
            </w:tcMar>
          </w:tcPr>
          <w:p>
            <w:pPr>
              <w:spacing w:after="0" w:line="240" w:lineRule="auto"/>
              <w:jc w:val="center"/>
            </w:pPr>
            <w:r>
              <w:rPr>
                <w:sz w:val="14"/>
              </w:rPr>
              <w:t>11.00 mg/L</w:t>
            </w:r>
          </w:p>
        </w:tc>
        <w:tc>
          <w:tcPr>
            <w:tcW w:type="dxa" w:w="2154"/>
            <w:vAlign w:val="center"/>
            <w:tcMar>
              <w:top w:w="90" w:type="dxa"/>
              <w:start w:w="110" w:type="dxa"/>
              <w:bottom w:w="90" w:type="dxa"/>
              <w:end w:w="110" w:type="dxa"/>
            </w:tcMar>
          </w:tcPr>
          <w:p>
            <w:pPr>
              <w:spacing w:after="0" w:line="240" w:lineRule="auto"/>
              <w:jc w:val="center"/>
            </w:pPr>
            <w:r>
              <w:rPr>
                <w:sz w:val="14"/>
              </w:rPr>
              <w:t>3,850 / 15,400</w:t>
            </w:r>
          </w:p>
        </w:tc>
        <w:tc>
          <w:tcPr>
            <w:tcW w:type="dxa" w:w="2381"/>
            <w:vAlign w:val="center"/>
            <w:tcMar>
              <w:top w:w="90" w:type="dxa"/>
              <w:start w:w="110" w:type="dxa"/>
              <w:bottom w:w="90" w:type="dxa"/>
              <w:end w:w="110" w:type="dxa"/>
            </w:tcMar>
          </w:tcPr>
          <w:p>
            <w:pPr>
              <w:spacing w:after="0" w:line="240" w:lineRule="auto"/>
              <w:jc w:val="center"/>
            </w:pPr>
            <w:r>
              <w:rPr>
                <w:sz w:val="14"/>
              </w:rPr>
              <w:t>Calibration and plausibility benchmark</w:t>
            </w:r>
          </w:p>
        </w:tc>
      </w:tr>
    </w:tbl>
    <w:p>
      <w:pPr>
        <w:spacing w:before="0" w:after="0" w:line="240" w:lineRule="auto"/>
      </w:pPr>
      <w:r>
        <w:rPr>
          <w:sz w:val="18"/>
        </w:rPr>
      </w:r>
    </w:p>
    <w:p>
      <w:pPr>
        <w:spacing w:line="480" w:lineRule="auto" w:after="40"/>
      </w:pPr>
      <w:r>
        <w:rPr>
          <w:rFonts w:ascii="Arial" w:hAnsi="Arial"/>
          <w:sz w:val="17"/>
        </w:rPr>
        <w:t>The blue frontier answers a useful design question: how much predicted soluble-BOD benefit is unlocked as the maximum deliverable oxygen to any one zone, C, increases? Between C=3,850 and about 4,400 lb/d, front-loading becomes possible and predicted soluble BOD falls from 11.0 to about 6.64 mg/L. The flat section marks a change in the binding constraint: additional local distribution capacity no longer helps because the reported 15,600 lb/d total supply is nearly exhausted.</w:t>
      </w:r>
    </w:p>
    <w:p>
      <w:pPr>
        <w:spacing w:line="480" w:lineRule="auto" w:after="40"/>
      </w:pPr>
      <w:r>
        <w:rPr>
          <w:rFonts w:ascii="Arial" w:hAnsi="Arial"/>
          <w:b/>
          <w:sz w:val="17"/>
        </w:rPr>
        <w:t>C=4,200 is not 'conservative'.</w:t>
      </w:r>
      <w:r>
        <w:rPr>
          <w:rFonts w:ascii="Arial" w:hAnsi="Arial"/>
          <w:sz w:val="17"/>
        </w:rPr>
        <w:t xml:space="preserve"> Its total demand of 15,547 lb/d leaves only 53 lb/d, or 0.34%, below the reported supply. It is therefore a candidate for field checking, not a design recommendation with a dependable safety margin. Load variability, oxygen-transfer efficiency and equipment ageing are not included.</w:t>
      </w:r>
    </w:p>
    <w:p>
      <w:pPr>
        <w:pStyle w:val="Heading1"/>
        <w:spacing w:before="80" w:after="80"/>
      </w:pPr>
      <w:r>
        <w:rPr>
          <w:color w:val="17324D"/>
        </w:rPr>
        <w:t>4  Engineering evaluation after the reveal</w:t>
      </w:r>
    </w:p>
    <w:p>
      <w:pPr>
        <w:spacing w:line="480" w:lineRule="auto" w:after="40"/>
      </w:pPr>
      <w:r>
        <w:rPr>
          <w:rFonts w:ascii="Arial" w:hAnsi="Arial"/>
          <w:sz w:val="18"/>
        </w:rPr>
        <w:t>The audit found that 3,900 lb O2/d per zone was never reported as hardware capacity; it came from dividing total supply by four. Imposing that value as four independent limits almost forces equal oxygen demand and biases the optimisation toward equal feed. The revised analysis treats C as unknown, retains total oxygen &lt;=15,600 lb/d, and reports a capacity-response envelope instead of declaring one optimum.</w:t>
      </w:r>
    </w:p>
    <w:p>
      <w:pPr>
        <w:pStyle w:val="Heading2"/>
        <w:spacing w:before="40" w:after="80"/>
      </w:pPr>
      <w:r>
        <w:rPr>
          <w:color w:val="0F766E"/>
        </w:rPr>
        <w:t>What the reveal does and does not validate</w:t>
      </w:r>
    </w:p>
    <w:p>
      <w:pPr>
        <w:spacing w:line="480" w:lineRule="auto" w:after="40"/>
      </w:pPr>
      <w:r>
        <w:rPr>
          <w:rFonts w:ascii="Arial" w:hAnsi="Arial"/>
          <w:sz w:val="17"/>
        </w:rPr>
        <w:t>EPA's 11 mg/L value was used to calibrate kappa and is then recovered by the equal-split model. This is internally consistent but circular as external validation. Moreover, the model state is soluble BOD, whereas the EPA value is carbonaceous BOD5 and the source separately reports TSS. The model omits particulate effluent BOD and final-clarifier performance. Therefore it can compare predicted effects of feed redistribution under fixed assumptions, but it cannot prove final-effluent compliance or superiority at the operating plant.</w:t>
      </w:r>
    </w:p>
    <w:p>
      <w:pPr>
        <w:spacing w:before="0" w:after="0" w:line="240" w:lineRule="auto"/>
      </w:pPr>
      <w:r>
        <w:rPr>
          <w:sz w:val="18"/>
        </w:rPr>
      </w:r>
    </w:p>
    <w:tbl>
      <w:tblPr>
        <w:tblStyle w:val="TableGrid"/>
        <w:tblW w:type="auto" w:w="0"/>
        <w:jc w:val="center"/>
        <w:tblLayout w:type="fixed"/>
        <w:tblLook w:firstColumn="1" w:firstRow="1" w:lastColumn="0" w:lastRow="0" w:noHBand="0" w:noVBand="1" w:val="04A0"/>
      </w:tblPr>
      <w:tblGrid>
        <w:gridCol w:w="3459"/>
        <w:gridCol w:w="3459"/>
        <w:gridCol w:w="3459"/>
      </w:tblGrid>
      <w:tr>
        <w:trPr>
          <w:tblHeader w:val="true"/>
        </w:trPr>
        <w:tc>
          <w:tcPr>
            <w:tcW w:type="dxa" w:w="2835"/>
            <w:shd w:fill="17324D"/>
            <w:vAlign w:val="center"/>
            <w:tcMar>
              <w:top w:w="90" w:type="dxa"/>
              <w:start w:w="110" w:type="dxa"/>
              <w:bottom w:w="90" w:type="dxa"/>
              <w:end w:w="110" w:type="dxa"/>
            </w:tcMar>
          </w:tcPr>
          <w:p>
            <w:pPr>
              <w:keepNext/>
              <w:jc w:val="center"/>
            </w:pPr>
            <w:r>
              <w:rPr>
                <w:b/>
                <w:color w:val="FFFFFF"/>
                <w:sz w:val="15"/>
              </w:rPr>
              <w:t>Finding</w:t>
            </w:r>
          </w:p>
        </w:tc>
        <w:tc>
          <w:tcPr>
            <w:tcW w:type="dxa" w:w="2721"/>
            <w:shd w:fill="17324D"/>
            <w:vAlign w:val="center"/>
            <w:tcMar>
              <w:top w:w="90" w:type="dxa"/>
              <w:start w:w="110" w:type="dxa"/>
              <w:bottom w:w="90" w:type="dxa"/>
              <w:end w:w="110" w:type="dxa"/>
            </w:tcMar>
          </w:tcPr>
          <w:p>
            <w:pPr>
              <w:keepNext/>
              <w:jc w:val="center"/>
            </w:pPr>
            <w:r>
              <w:rPr>
                <w:b/>
                <w:color w:val="FFFFFF"/>
                <w:sz w:val="15"/>
              </w:rPr>
              <w:t>Value</w:t>
            </w:r>
          </w:p>
        </w:tc>
        <w:tc>
          <w:tcPr>
            <w:tcW w:type="dxa" w:w="4706"/>
            <w:shd w:fill="17324D"/>
            <w:vAlign w:val="center"/>
            <w:tcMar>
              <w:top w:w="90" w:type="dxa"/>
              <w:start w:w="110" w:type="dxa"/>
              <w:bottom w:w="90" w:type="dxa"/>
              <w:end w:w="110" w:type="dxa"/>
            </w:tcMar>
          </w:tcPr>
          <w:p>
            <w:pPr>
              <w:keepNext/>
              <w:jc w:val="center"/>
            </w:pPr>
            <w:r>
              <w:rPr>
                <w:b/>
                <w:color w:val="FFFFFF"/>
                <w:sz w:val="15"/>
              </w:rPr>
              <w:t>Decision consequence</w:t>
            </w:r>
          </w:p>
        </w:tc>
      </w:tr>
      <w:tr>
        <w:tc>
          <w:tcPr>
            <w:tcW w:type="dxa" w:w="2835"/>
            <w:vAlign w:val="center"/>
            <w:tcMar>
              <w:top w:w="90" w:type="dxa"/>
              <w:start w:w="110" w:type="dxa"/>
              <w:bottom w:w="90" w:type="dxa"/>
              <w:end w:w="110" w:type="dxa"/>
            </w:tcMar>
          </w:tcPr>
          <w:p>
            <w:pPr>
              <w:keepNext/>
              <w:spacing w:after="0" w:line="240" w:lineRule="auto"/>
              <w:jc w:val="left"/>
            </w:pPr>
            <w:r>
              <w:rPr>
                <w:sz w:val="15"/>
              </w:rPr>
              <w:t>Local-capacity knee</w:t>
            </w:r>
          </w:p>
        </w:tc>
        <w:tc>
          <w:tcPr>
            <w:tcW w:type="dxa" w:w="2721"/>
            <w:vAlign w:val="center"/>
            <w:tcMar>
              <w:top w:w="90" w:type="dxa"/>
              <w:start w:w="110" w:type="dxa"/>
              <w:bottom w:w="90" w:type="dxa"/>
              <w:end w:w="110" w:type="dxa"/>
            </w:tcMar>
          </w:tcPr>
          <w:p>
            <w:pPr>
              <w:keepNext/>
              <w:spacing w:after="0" w:line="240" w:lineRule="auto"/>
              <w:jc w:val="center"/>
            </w:pPr>
            <w:r>
              <w:rPr>
                <w:sz w:val="15"/>
              </w:rPr>
              <w:t>about 4,400 lb O2/d</w:t>
            </w:r>
          </w:p>
        </w:tc>
        <w:tc>
          <w:tcPr>
            <w:tcW w:type="dxa" w:w="4706"/>
            <w:vAlign w:val="center"/>
            <w:tcMar>
              <w:top w:w="90" w:type="dxa"/>
              <w:start w:w="110" w:type="dxa"/>
              <w:bottom w:w="90" w:type="dxa"/>
              <w:end w:w="110" w:type="dxa"/>
            </w:tcMar>
          </w:tcPr>
          <w:p>
            <w:pPr>
              <w:keepNext/>
              <w:spacing w:after="0" w:line="240" w:lineRule="auto"/>
              <w:jc w:val="center"/>
            </w:pPr>
            <w:r>
              <w:rPr>
                <w:sz w:val="15"/>
              </w:rPr>
              <w:t>Beyond the knee, total supply binds</w:t>
            </w:r>
          </w:p>
        </w:tc>
      </w:tr>
      <w:tr>
        <w:tc>
          <w:tcPr>
            <w:tcW w:type="dxa" w:w="2835"/>
            <w:vAlign w:val="center"/>
            <w:tcMar>
              <w:top w:w="90" w:type="dxa"/>
              <w:start w:w="110" w:type="dxa"/>
              <w:bottom w:w="90" w:type="dxa"/>
              <w:end w:w="110" w:type="dxa"/>
            </w:tcMar>
            <w:shd w:fill="F4F7FA"/>
          </w:tcPr>
          <w:p>
            <w:pPr>
              <w:keepNext/>
              <w:spacing w:after="0" w:line="240" w:lineRule="auto"/>
              <w:jc w:val="left"/>
            </w:pPr>
            <w:r>
              <w:rPr>
                <w:sz w:val="15"/>
              </w:rPr>
              <w:t>C=4,200 oxygen margin</w:t>
            </w:r>
          </w:p>
        </w:tc>
        <w:tc>
          <w:tcPr>
            <w:tcW w:type="dxa" w:w="2721"/>
            <w:vAlign w:val="center"/>
            <w:tcMar>
              <w:top w:w="90" w:type="dxa"/>
              <w:start w:w="110" w:type="dxa"/>
              <w:bottom w:w="90" w:type="dxa"/>
              <w:end w:w="110" w:type="dxa"/>
            </w:tcMar>
            <w:shd w:fill="F4F7FA"/>
          </w:tcPr>
          <w:p>
            <w:pPr>
              <w:keepNext/>
              <w:spacing w:after="0" w:line="240" w:lineRule="auto"/>
              <w:jc w:val="center"/>
            </w:pPr>
            <w:r>
              <w:rPr>
                <w:sz w:val="15"/>
              </w:rPr>
              <w:t>53 lb/d = 0.34%</w:t>
            </w:r>
          </w:p>
        </w:tc>
        <w:tc>
          <w:tcPr>
            <w:tcW w:type="dxa" w:w="4706"/>
            <w:vAlign w:val="center"/>
            <w:tcMar>
              <w:top w:w="90" w:type="dxa"/>
              <w:start w:w="110" w:type="dxa"/>
              <w:bottom w:w="90" w:type="dxa"/>
              <w:end w:w="110" w:type="dxa"/>
            </w:tcMar>
            <w:shd w:fill="F4F7FA"/>
          </w:tcPr>
          <w:p>
            <w:pPr>
              <w:keepNext/>
              <w:spacing w:after="0" w:line="240" w:lineRule="auto"/>
              <w:jc w:val="center"/>
            </w:pPr>
            <w:r>
              <w:rPr>
                <w:sz w:val="15"/>
              </w:rPr>
              <w:t>Require variability and transfer tests</w:t>
            </w:r>
          </w:p>
        </w:tc>
      </w:tr>
      <w:tr>
        <w:tc>
          <w:tcPr>
            <w:tcW w:type="dxa" w:w="2835"/>
            <w:vAlign w:val="center"/>
            <w:tcMar>
              <w:top w:w="90" w:type="dxa"/>
              <w:start w:w="110" w:type="dxa"/>
              <w:bottom w:w="90" w:type="dxa"/>
              <w:end w:w="110" w:type="dxa"/>
            </w:tcMar>
          </w:tcPr>
          <w:p>
            <w:pPr>
              <w:keepNext/>
              <w:spacing w:after="0" w:line="240" w:lineRule="auto"/>
              <w:jc w:val="left"/>
            </w:pPr>
            <w:r>
              <w:rPr>
                <w:sz w:val="15"/>
              </w:rPr>
              <w:t>Adverse case</w:t>
            </w:r>
          </w:p>
        </w:tc>
        <w:tc>
          <w:tcPr>
            <w:tcW w:type="dxa" w:w="2721"/>
            <w:vAlign w:val="center"/>
            <w:tcMar>
              <w:top w:w="90" w:type="dxa"/>
              <w:start w:w="110" w:type="dxa"/>
              <w:bottom w:w="90" w:type="dxa"/>
              <w:end w:w="110" w:type="dxa"/>
            </w:tcMar>
          </w:tcPr>
          <w:p>
            <w:pPr>
              <w:keepNext/>
              <w:spacing w:after="0" w:line="240" w:lineRule="auto"/>
              <w:jc w:val="center"/>
            </w:pPr>
            <w:r>
              <w:rPr>
                <w:sz w:val="15"/>
              </w:rPr>
              <w:t>7.5 MGD; 320 mg/L; no feasible split</w:t>
            </w:r>
          </w:p>
        </w:tc>
        <w:tc>
          <w:tcPr>
            <w:tcW w:type="dxa" w:w="4706"/>
            <w:vAlign w:val="center"/>
            <w:tcMar>
              <w:top w:w="90" w:type="dxa"/>
              <w:start w:w="110" w:type="dxa"/>
              <w:bottom w:w="90" w:type="dxa"/>
              <w:end w:w="110" w:type="dxa"/>
            </w:tcMar>
          </w:tcPr>
          <w:p>
            <w:pPr>
              <w:keepNext/>
              <w:spacing w:after="0" w:line="240" w:lineRule="auto"/>
              <w:jc w:val="center"/>
            </w:pPr>
            <w:r>
              <w:rPr>
                <w:sz w:val="15"/>
              </w:rPr>
              <w:t>Feed splitting cannot replace basin/blower capacity</w:t>
            </w:r>
          </w:p>
        </w:tc>
      </w:tr>
      <w:tr>
        <w:tc>
          <w:tcPr>
            <w:tcW w:type="dxa" w:w="2835"/>
            <w:vAlign w:val="center"/>
            <w:tcMar>
              <w:top w:w="90" w:type="dxa"/>
              <w:start w:w="110" w:type="dxa"/>
              <w:bottom w:w="90" w:type="dxa"/>
              <w:end w:w="110" w:type="dxa"/>
            </w:tcMar>
            <w:shd w:fill="F4F7FA"/>
          </w:tcPr>
          <w:p>
            <w:pPr>
              <w:keepNext/>
              <w:spacing w:after="0" w:line="240" w:lineRule="auto"/>
              <w:jc w:val="left"/>
            </w:pPr>
            <w:r>
              <w:rPr>
                <w:sz w:val="15"/>
              </w:rPr>
              <w:t>Energy-only change</w:t>
            </w:r>
          </w:p>
        </w:tc>
        <w:tc>
          <w:tcPr>
            <w:tcW w:type="dxa" w:w="2721"/>
            <w:vAlign w:val="center"/>
            <w:tcMar>
              <w:top w:w="90" w:type="dxa"/>
              <w:start w:w="110" w:type="dxa"/>
              <w:bottom w:w="90" w:type="dxa"/>
              <w:end w:w="110" w:type="dxa"/>
            </w:tcMar>
            <w:shd w:fill="F4F7FA"/>
          </w:tcPr>
          <w:p>
            <w:pPr>
              <w:keepNext/>
              <w:spacing w:after="0" w:line="240" w:lineRule="auto"/>
              <w:jc w:val="center"/>
            </w:pPr>
            <w:r>
              <w:rPr>
                <w:sz w:val="15"/>
              </w:rPr>
              <w:t>about $1.5k-$2.8k/y from C=3,850 to 4,400</w:t>
            </w:r>
          </w:p>
        </w:tc>
        <w:tc>
          <w:tcPr>
            <w:tcW w:type="dxa" w:w="4706"/>
            <w:vAlign w:val="center"/>
            <w:tcMar>
              <w:top w:w="90" w:type="dxa"/>
              <w:start w:w="110" w:type="dxa"/>
              <w:bottom w:w="90" w:type="dxa"/>
              <w:end w:w="110" w:type="dxa"/>
            </w:tcMar>
            <w:shd w:fill="F4F7FA"/>
          </w:tcPr>
          <w:p>
            <w:pPr>
              <w:keepNext/>
              <w:spacing w:after="0" w:line="240" w:lineRule="auto"/>
              <w:jc w:val="center"/>
            </w:pPr>
            <w:r>
              <w:rPr>
                <w:sz w:val="15"/>
              </w:rPr>
              <w:t>Not a lifecycle cost comparison</w:t>
            </w:r>
          </w:p>
        </w:tc>
      </w:tr>
      <w:tr>
        <w:tc>
          <w:tcPr>
            <w:tcW w:type="dxa" w:w="2835"/>
            <w:vAlign w:val="center"/>
            <w:tcMar>
              <w:top w:w="90" w:type="dxa"/>
              <w:start w:w="110" w:type="dxa"/>
              <w:bottom w:w="90" w:type="dxa"/>
              <w:end w:w="110" w:type="dxa"/>
            </w:tcMar>
          </w:tcPr>
          <w:p>
            <w:pPr>
              <w:spacing w:after="0" w:line="240" w:lineRule="auto"/>
              <w:jc w:val="left"/>
            </w:pPr>
            <w:r>
              <w:rPr>
                <w:sz w:val="15"/>
              </w:rPr>
              <w:t>Missing retrofit inputs</w:t>
            </w:r>
          </w:p>
        </w:tc>
        <w:tc>
          <w:tcPr>
            <w:tcW w:type="dxa" w:w="2721"/>
            <w:vAlign w:val="center"/>
            <w:tcMar>
              <w:top w:w="90" w:type="dxa"/>
              <w:start w:w="110" w:type="dxa"/>
              <w:bottom w:w="90" w:type="dxa"/>
              <w:end w:w="110" w:type="dxa"/>
            </w:tcMar>
          </w:tcPr>
          <w:p>
            <w:pPr>
              <w:spacing w:after="0" w:line="240" w:lineRule="auto"/>
              <w:jc w:val="center"/>
            </w:pPr>
            <w:r>
              <w:rPr>
                <w:sz w:val="15"/>
              </w:rPr>
              <w:t>diffusers, alpha, headloss, valves, blower curve</w:t>
            </w:r>
          </w:p>
        </w:tc>
        <w:tc>
          <w:tcPr>
            <w:tcW w:type="dxa" w:w="4706"/>
            <w:vAlign w:val="center"/>
            <w:tcMar>
              <w:top w:w="90" w:type="dxa"/>
              <w:start w:w="110" w:type="dxa"/>
              <w:bottom w:w="90" w:type="dxa"/>
              <w:end w:w="110" w:type="dxa"/>
            </w:tcMar>
          </w:tcPr>
          <w:p>
            <w:pPr>
              <w:spacing w:after="0" w:line="240" w:lineRule="auto"/>
              <w:jc w:val="center"/>
            </w:pPr>
            <w:r>
              <w:rPr>
                <w:sz w:val="15"/>
              </w:rPr>
              <w:t>Obtain field data and quotations</w:t>
            </w:r>
          </w:p>
        </w:tc>
      </w:tr>
    </w:tbl>
    <w:p>
      <w:pPr>
        <w:spacing w:before="0" w:after="0" w:line="240" w:lineRule="auto"/>
      </w:pPr>
      <w:r>
        <w:rPr>
          <w:sz w:val="18"/>
        </w:rPr>
      </w:r>
    </w:p>
    <w:p>
      <w:pPr>
        <w:spacing w:line="480" w:lineRule="auto" w:after="40"/>
      </w:pPr>
      <w:r>
        <w:rPr>
          <w:rFonts w:ascii="Arial" w:hAnsi="Arial"/>
          <w:sz w:val="17"/>
        </w:rPr>
        <w:t>The single cost line in Figure 1C uses 1.7 kg O2/kWh and $0.10/kWh. The reported $1.5k-$2.8k/y range is a separate sensitivity check using 2.2 and 1.2 kg O2/kWh, respectively. Both cover oxygen-transfer electricity only. Increasing C redistributes local delivery and does not automatically add total blower capacity. Complete annualized cost would require local diffuser/header/valve CAPEX, installation, fouling maintenance, pressure loss and blower operating-point data; therefore the figure is a sensitivity screen rather than an economic design.</w:t>
      </w:r>
    </w:p>
    <w:p>
      <w:pPr>
        <w:pStyle w:val="Heading2"/>
        <w:spacing w:before="40" w:after="80"/>
      </w:pPr>
      <w:r>
        <w:rPr>
          <w:color w:val="0F766E"/>
        </w:rPr>
        <w:t>Effectiveness and current engineering evidence</w:t>
      </w:r>
    </w:p>
    <w:p>
      <w:pPr>
        <w:spacing w:line="480" w:lineRule="auto" w:after="40"/>
      </w:pPr>
      <w:r>
        <w:rPr>
          <w:rFonts w:ascii="Arial" w:hAnsi="Arial"/>
          <w:sz w:val="17"/>
        </w:rPr>
        <w:t>The useful AI outcome is not the 6.69 mg/L number alone. It is the discovery that local air distribution can be valuable until total oxygen binds, coupled with a falsifiable request for zone-level air-flow, DO, alpha-factor and hydraulic data. USIBWC reported operation of the newly constructed SAB plant in May 2025, while Minute 333 calls for further expansion study and real-time monitoring. Recent full-scale AI aeration studies also rely on sustained sensors, explicit baselines and plant trials. These developments support shadow-mode testing, but they do not transfer their performance gains to this step-feed case.</w:t>
      </w:r>
    </w:p>
    <w:p>
      <w:pPr>
        <w:pStyle w:val="Heading1"/>
        <w:spacing w:before="80" w:after="80"/>
      </w:pPr>
      <w:r>
        <w:rPr>
          <w:color w:val="17324D"/>
        </w:rPr>
        <w:t>5  Overall assessment and professional reflection</w:t>
      </w:r>
    </w:p>
    <w:p>
      <w:pPr>
        <w:spacing w:line="480" w:lineRule="auto" w:after="40"/>
      </w:pPr>
      <w:r>
        <w:rPr>
          <w:rFonts w:ascii="Arial" w:hAnsi="Arial"/>
          <w:b/>
          <w:sz w:val="18"/>
        </w:rPr>
        <w:t>Overall judgement.</w:t>
      </w:r>
      <w:r>
        <w:rPr>
          <w:rFonts w:ascii="Arial" w:hAnsi="Arial"/>
          <w:sz w:val="18"/>
        </w:rPr>
        <w:t xml:space="preserve"> AI was effective as an auditable alternative generator and sensitivity-analysis tool. It searched 14,740 normal-mode splits, compared several surrogate methods, mechanistically recomputed shortlisted designs, and revealed the local-capacity frontier. Engineering review remained decisive: it removed an invented per-zone constraint, identified circular validation, distinguished soluble BOD from final cBOD5, and rejected an adverse case that no feed split could repair.</w:t>
      </w:r>
    </w:p>
    <w:p>
      <w:pPr>
        <w:pStyle w:val="Heading2"/>
        <w:spacing w:before="40" w:after="80"/>
      </w:pPr>
      <w:r>
        <w:rPr>
          <w:color w:val="0F766E"/>
        </w:rPr>
        <w:t>Recommended next action</w:t>
      </w:r>
    </w:p>
    <w:p>
      <w:pPr>
        <w:spacing w:line="480" w:lineRule="auto" w:after="40"/>
      </w:pPr>
      <w:r>
        <w:rPr>
          <w:rFonts w:ascii="Arial" w:hAnsi="Arial"/>
          <w:sz w:val="18"/>
        </w:rPr>
        <w:t>Do not implement C=4,200 as a final design. Use the 28.7/28.0/28.0/15.4% split as a commissioning hypothesis only after confirming zone air-delivery capacity. Install or verify zone air-flow and DO measurement, log valve position and header pressure, perform oxygen-transfer and alpha-factor testing, and run the candidate in shadow mode against the current equal split. Advance gradually only when effluent cBOD5/TSS, settling, DO, energy and peak-load performance remain acceptable with an explicit operating reserve.</w:t>
      </w:r>
    </w:p>
    <w:p>
      <w:pPr>
        <w:pStyle w:val="Heading2"/>
        <w:spacing w:before="40" w:after="80"/>
      </w:pPr>
      <w:r>
        <w:rPr>
          <w:color w:val="0F766E"/>
        </w:rPr>
        <w:t>Professional reflection</w:t>
      </w:r>
    </w:p>
    <w:p>
      <w:pPr>
        <w:spacing w:line="480" w:lineRule="auto" w:after="40"/>
      </w:pPr>
      <w:r>
        <w:rPr>
          <w:rFonts w:ascii="Arial" w:hAnsi="Arial"/>
          <w:sz w:val="17"/>
        </w:rPr>
        <w:t>The most important lesson was that AI can make an unsupported assumption look precise. Dividing total oxygen by four appeared harmless, yet it created the main conclusion of the first analysis. Our responsibility is therefore to maintain an assumption register, check dimensions, separate calibration from validation, and define what evidence could disprove a recommendation. AI expands the option set and accelerates computation; the engineer remains accountable for model scope, constructability, safety margin, commissioning and regulatory compliance.</w:t>
      </w:r>
    </w:p>
    <w:p>
      <w:pPr>
        <w:spacing w:line="480" w:lineRule="auto" w:after="40"/>
      </w:pPr>
      <w:r>
        <w:rPr>
          <w:rFonts w:ascii="Arial" w:hAnsi="Arial"/>
          <w:sz w:val="17"/>
        </w:rPr>
        <w:t>In future work we would pre-register the objective and acceptance criteria, preserve code and test data, quantify uncertainty from influent and oxygen-transfer variation, and compare predictions with a sustained plant baseline. Human approval, manual override, rollback and drift monitoring would be mandatory. This turns AI from an answer generator into a transparent decision-support instrument.</w:t>
      </w:r>
    </w:p>
    <w:p>
      <w:pPr>
        <w:pStyle w:val="Heading2"/>
        <w:spacing w:before="40" w:after="80"/>
      </w:pPr>
      <w:r>
        <w:rPr>
          <w:color w:val="0F766E"/>
        </w:rPr>
        <w:t>References</w:t>
      </w:r>
    </w:p>
    <w:p>
      <w:pPr>
        <w:spacing w:line="480" w:lineRule="auto" w:after="0"/>
      </w:pPr>
      <w:r>
        <w:rPr>
          <w:rFonts w:ascii="Arial" w:hAnsi="Arial"/>
          <w:color w:val="475569"/>
          <w:sz w:val="15"/>
        </w:rPr>
        <w:t>[1] U.S. EPA (2021), Project 8: Upgrade San Antonio de los Buenos WWTP, Addendum to the Feasibility Analysis. https://www.epa.gov/system/files/documents/2021-12/usmca-feasibility-analysis_project-8_upgrade-sab-wwtp-addendum.pdf</w:t>
      </w:r>
    </w:p>
    <w:p>
      <w:pPr>
        <w:spacing w:line="480" w:lineRule="auto" w:after="0"/>
      </w:pPr>
      <w:r>
        <w:rPr>
          <w:rFonts w:ascii="Arial" w:hAnsi="Arial"/>
          <w:color w:val="475569"/>
          <w:sz w:val="15"/>
        </w:rPr>
        <w:t>[2] Oklahoma Administrative Code 252:656, Appendix A and Section 16-1, step-aeration screening ranges and oxygen criterion. https://www.law.cornell.edu/regulations/oklahoma/OAC-252-656-app-A</w:t>
      </w:r>
    </w:p>
    <w:p>
      <w:pPr>
        <w:spacing w:line="480" w:lineRule="auto" w:after="0"/>
      </w:pPr>
      <w:r>
        <w:rPr>
          <w:rFonts w:ascii="Arial" w:hAnsi="Arial"/>
          <w:color w:val="475569"/>
          <w:sz w:val="15"/>
        </w:rPr>
        <w:t>[3] USIBWC (2025), Moving Fast and Fixing Things: infrastructure improvements and Tijuana River pollution. https://www.ibwc.gov/wp-content/uploads/2025/06/MOVING-FAST-AND-FIXING-THINGS-USIBWC-FOCUSED-ON-INFRASTRUCTURE-IMPROVEMENTS-AND-TIJUANA-RIVER-POLLUTION.pdf</w:t>
      </w:r>
    </w:p>
    <w:p>
      <w:pPr>
        <w:spacing w:line="480" w:lineRule="auto" w:after="0"/>
      </w:pPr>
      <w:r>
        <w:rPr>
          <w:rFonts w:ascii="Arial" w:hAnsi="Arial"/>
          <w:color w:val="475569"/>
          <w:sz w:val="15"/>
        </w:rPr>
        <w:t>[4] U.S. EPA, Minute No. 333: expansion feasibility and real-time binational monitoring. https://www.epa.gov/sustainable-water-infrastructure/minute-no-333</w:t>
      </w:r>
    </w:p>
    <w:p>
      <w:pPr>
        <w:spacing w:line="480" w:lineRule="auto" w:after="0"/>
      </w:pPr>
      <w:r>
        <w:rPr>
          <w:rFonts w:ascii="Arial" w:hAnsi="Arial"/>
          <w:color w:val="475569"/>
          <w:sz w:val="15"/>
        </w:rPr>
        <w:t>[5] Heo et al. (2025), real-scale digital-twin aeration optimisation, Desalination 593, 118235. https://doi.org/10.1016/j.desal.2024.118235</w:t>
      </w:r>
    </w:p>
    <w:p>
      <w:pPr>
        <w:spacing w:line="480" w:lineRule="auto" w:after="0"/>
      </w:pPr>
      <w:r>
        <w:rPr>
          <w:rFonts w:ascii="Arial" w:hAnsi="Arial"/>
          <w:color w:val="475569"/>
          <w:sz w:val="15"/>
        </w:rPr>
        <w:t>[6] Xiong et al. (2025), ML-assisted expert aeration control, ACS ES&amp;T Engineering 5, 3140-3152. https://doi.org/10.1021/acsestengg.5c00493</w:t>
      </w:r>
    </w:p>
    <w:p>
      <w:pPr>
        <w:spacing w:line="480" w:lineRule="auto" w:after="0"/>
      </w:pPr>
      <w:r>
        <w:rPr>
          <w:rFonts w:ascii="Arial" w:hAnsi="Arial"/>
          <w:b/>
          <w:sz w:val="16"/>
        </w:rPr>
        <w:t>Project repository:</w:t>
      </w:r>
      <w:r>
        <w:rPr>
          <w:rFonts w:ascii="Arial" w:hAnsi="Arial"/>
          <w:sz w:val="16"/>
        </w:rPr>
        <w:t xml:space="preserve"> https://github.com/tissyhacker-lab/step-feed-asp-ai-design</w:t>
      </w:r>
    </w:p>
    <w:sectPr w:rsidR="00FC693F" w:rsidRPr="0006063C" w:rsidSect="00034616">
      <w:footerReference w:type="default" r:id="rId9"/>
      <w:pgSz w:w="11906" w:h="16838"/>
      <w:pgMar w:top="652" w:right="765" w:bottom="652" w:left="76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475569"/>
        <w:sz w:val="16"/>
      </w:rPr>
      <w:t xml:space="preserve">Step-Feed AI design study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24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7324D"/>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