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4A06" w:rsidRPr="00EE6AFA" w:rsidRDefault="004B31B9">
      <w:pPr>
        <w:spacing w:before="280" w:after="60"/>
        <w:rPr>
          <w:lang w:val="fr-FR"/>
        </w:rPr>
      </w:pPr>
      <w:r w:rsidRPr="00EE6AFA">
        <w:rPr>
          <w:b/>
          <w:color w:val="007C91"/>
          <w:sz w:val="18"/>
          <w:lang w:val="fr-FR"/>
        </w:rPr>
        <w:t>NOTE DE SYNTHÈSE À LA</w:t>
      </w:r>
      <w:bookmarkStart w:id="0" w:name="_GoBack"/>
      <w:bookmarkEnd w:id="0"/>
      <w:r w:rsidRPr="00EE6AFA">
        <w:rPr>
          <w:b/>
          <w:color w:val="007C91"/>
          <w:sz w:val="18"/>
          <w:lang w:val="fr-FR"/>
        </w:rPr>
        <w:t xml:space="preserve"> DIRECTION</w:t>
      </w:r>
    </w:p>
    <w:p w:rsidR="00EB4A06" w:rsidRPr="00EE6AFA" w:rsidRDefault="004B31B9">
      <w:pPr>
        <w:spacing w:after="80"/>
        <w:rPr>
          <w:lang w:val="fr-FR"/>
        </w:rPr>
      </w:pPr>
      <w:r w:rsidRPr="00EE6AFA">
        <w:rPr>
          <w:b/>
          <w:color w:val="143B5D"/>
          <w:sz w:val="50"/>
          <w:lang w:val="fr-FR"/>
        </w:rPr>
        <w:t>Analyse des co</w:t>
      </w:r>
      <w:r w:rsidR="00EE6AFA">
        <w:rPr>
          <w:b/>
          <w:color w:val="143B5D"/>
          <w:sz w:val="50"/>
          <w:lang w:val="fr-FR"/>
        </w:rPr>
        <w:t>nsultations de santé</w:t>
      </w:r>
    </w:p>
    <w:p w:rsidR="00EB4A06" w:rsidRPr="00EE6AFA" w:rsidRDefault="004B31B9">
      <w:pPr>
        <w:spacing w:after="280"/>
        <w:rPr>
          <w:lang w:val="fr-FR"/>
        </w:rPr>
      </w:pPr>
      <w:r w:rsidRPr="00EE6AFA">
        <w:rPr>
          <w:color w:val="64748B"/>
          <w:sz w:val="26"/>
          <w:lang w:val="fr-FR"/>
        </w:rPr>
        <w:t>Résultats 2025, priorités de gestion et feuille de route proposée</w:t>
      </w:r>
    </w:p>
    <w:tbl>
      <w:tblPr>
        <w:tblW w:w="0" w:type="auto"/>
        <w:tblLayout w:type="fixed"/>
        <w:tblLook w:val="04A0" w:firstRow="1" w:lastRow="0" w:firstColumn="1" w:lastColumn="0" w:noHBand="0" w:noVBand="1"/>
      </w:tblPr>
      <w:tblGrid>
        <w:gridCol w:w="1944"/>
        <w:gridCol w:w="7200"/>
      </w:tblGrid>
      <w:tr w:rsidR="00EB4A06" w:rsidRPr="00EE6AFA">
        <w:tc>
          <w:tcPr>
            <w:tcW w:w="1944" w:type="dxa"/>
            <w:shd w:val="clear" w:color="auto" w:fill="F3F7F9"/>
            <w:tcMar>
              <w:top w:w="55" w:type="dxa"/>
              <w:left w:w="80" w:type="dxa"/>
              <w:bottom w:w="55" w:type="dxa"/>
              <w:right w:w="80" w:type="dxa"/>
            </w:tcMar>
          </w:tcPr>
          <w:p w:rsidR="00EB4A06" w:rsidRDefault="004B31B9">
            <w:r>
              <w:rPr>
                <w:b/>
                <w:color w:val="143B5D"/>
                <w:sz w:val="18"/>
              </w:rPr>
              <w:t>Destinataires</w:t>
            </w:r>
          </w:p>
        </w:tc>
        <w:tc>
          <w:tcPr>
            <w:tcW w:w="7200" w:type="dxa"/>
            <w:tcMar>
              <w:top w:w="55" w:type="dxa"/>
              <w:left w:w="80" w:type="dxa"/>
              <w:bottom w:w="55" w:type="dxa"/>
              <w:right w:w="80" w:type="dxa"/>
            </w:tcMar>
          </w:tcPr>
          <w:p w:rsidR="00EB4A06" w:rsidRPr="00EE6AFA" w:rsidRDefault="004B31B9">
            <w:pPr>
              <w:rPr>
                <w:lang w:val="fr-FR"/>
              </w:rPr>
            </w:pPr>
            <w:r w:rsidRPr="00EE6AFA">
              <w:rPr>
                <w:sz w:val="19"/>
                <w:lang w:val="fr-FR"/>
              </w:rPr>
              <w:t>Direction générale et directions métiers</w:t>
            </w:r>
          </w:p>
        </w:tc>
      </w:tr>
      <w:tr w:rsidR="00EB4A06" w:rsidRPr="00EE6AFA">
        <w:tc>
          <w:tcPr>
            <w:tcW w:w="1944" w:type="dxa"/>
            <w:shd w:val="clear" w:color="auto" w:fill="F3F7F9"/>
            <w:tcMar>
              <w:top w:w="55" w:type="dxa"/>
              <w:left w:w="80" w:type="dxa"/>
              <w:bottom w:w="55" w:type="dxa"/>
              <w:right w:w="80" w:type="dxa"/>
            </w:tcMar>
          </w:tcPr>
          <w:p w:rsidR="00EB4A06" w:rsidRDefault="004B31B9">
            <w:r>
              <w:rPr>
                <w:b/>
                <w:color w:val="143B5D"/>
                <w:sz w:val="18"/>
              </w:rPr>
              <w:t>Objet</w:t>
            </w:r>
          </w:p>
        </w:tc>
        <w:tc>
          <w:tcPr>
            <w:tcW w:w="7200" w:type="dxa"/>
            <w:tcMar>
              <w:top w:w="55" w:type="dxa"/>
              <w:left w:w="80" w:type="dxa"/>
              <w:bottom w:w="55" w:type="dxa"/>
              <w:right w:w="80" w:type="dxa"/>
            </w:tcMar>
          </w:tcPr>
          <w:p w:rsidR="00EB4A06" w:rsidRPr="00EE6AFA" w:rsidRDefault="004B31B9">
            <w:pPr>
              <w:rPr>
                <w:lang w:val="fr-FR"/>
              </w:rPr>
            </w:pPr>
            <w:r w:rsidRPr="00EE6AFA">
              <w:rPr>
                <w:sz w:val="19"/>
                <w:lang w:val="fr-FR"/>
              </w:rPr>
              <w:t xml:space="preserve">Orientations prioritaires issues de l’analyse </w:t>
            </w:r>
            <w:r w:rsidRPr="00EE6AFA">
              <w:rPr>
                <w:sz w:val="19"/>
                <w:lang w:val="fr-FR"/>
              </w:rPr>
              <w:t>des consultations</w:t>
            </w:r>
          </w:p>
        </w:tc>
      </w:tr>
      <w:tr w:rsidR="00EB4A06">
        <w:tc>
          <w:tcPr>
            <w:tcW w:w="1944" w:type="dxa"/>
            <w:shd w:val="clear" w:color="auto" w:fill="F3F7F9"/>
            <w:tcMar>
              <w:top w:w="55" w:type="dxa"/>
              <w:left w:w="80" w:type="dxa"/>
              <w:bottom w:w="55" w:type="dxa"/>
              <w:right w:w="80" w:type="dxa"/>
            </w:tcMar>
          </w:tcPr>
          <w:p w:rsidR="00EB4A06" w:rsidRDefault="004B31B9">
            <w:r>
              <w:rPr>
                <w:b/>
                <w:color w:val="143B5D"/>
                <w:sz w:val="18"/>
              </w:rPr>
              <w:t>Périmètre</w:t>
            </w:r>
          </w:p>
        </w:tc>
        <w:tc>
          <w:tcPr>
            <w:tcW w:w="7200" w:type="dxa"/>
            <w:tcMar>
              <w:top w:w="55" w:type="dxa"/>
              <w:left w:w="80" w:type="dxa"/>
              <w:bottom w:w="55" w:type="dxa"/>
              <w:right w:w="80" w:type="dxa"/>
            </w:tcMar>
          </w:tcPr>
          <w:p w:rsidR="00EB4A06" w:rsidRDefault="004B31B9">
            <w:r>
              <w:rPr>
                <w:sz w:val="19"/>
              </w:rPr>
              <w:t>10 015 consultations après dédoublonnage</w:t>
            </w:r>
          </w:p>
        </w:tc>
      </w:tr>
      <w:tr w:rsidR="00EB4A06" w:rsidRPr="00EE6AFA">
        <w:tc>
          <w:tcPr>
            <w:tcW w:w="1944" w:type="dxa"/>
            <w:shd w:val="clear" w:color="auto" w:fill="F3F7F9"/>
            <w:tcMar>
              <w:top w:w="55" w:type="dxa"/>
              <w:left w:w="80" w:type="dxa"/>
              <w:bottom w:w="55" w:type="dxa"/>
              <w:right w:w="80" w:type="dxa"/>
            </w:tcMar>
          </w:tcPr>
          <w:p w:rsidR="00EB4A06" w:rsidRDefault="004B31B9">
            <w:r>
              <w:rPr>
                <w:b/>
                <w:color w:val="143B5D"/>
                <w:sz w:val="18"/>
              </w:rPr>
              <w:t>Statut</w:t>
            </w:r>
          </w:p>
        </w:tc>
        <w:tc>
          <w:tcPr>
            <w:tcW w:w="7200" w:type="dxa"/>
            <w:tcMar>
              <w:top w:w="55" w:type="dxa"/>
              <w:left w:w="80" w:type="dxa"/>
              <w:bottom w:w="55" w:type="dxa"/>
              <w:right w:w="80" w:type="dxa"/>
            </w:tcMar>
          </w:tcPr>
          <w:p w:rsidR="00EB4A06" w:rsidRPr="00EE6AFA" w:rsidRDefault="004B31B9">
            <w:pPr>
              <w:rPr>
                <w:lang w:val="fr-FR"/>
              </w:rPr>
            </w:pPr>
            <w:r w:rsidRPr="00EE6AFA">
              <w:rPr>
                <w:sz w:val="19"/>
                <w:lang w:val="fr-FR"/>
              </w:rPr>
              <w:t>Support de décision — données simulées à des fins d’analyse</w:t>
            </w:r>
          </w:p>
        </w:tc>
      </w:tr>
    </w:tbl>
    <w:p w:rsidR="00EB4A06" w:rsidRPr="00EE6AFA" w:rsidRDefault="00EB4A06">
      <w:pPr>
        <w:rPr>
          <w:lang w:val="fr-FR"/>
        </w:rPr>
      </w:pPr>
    </w:p>
    <w:tbl>
      <w:tblPr>
        <w:tblW w:w="0" w:type="auto"/>
        <w:jc w:val="center"/>
        <w:tblLook w:val="04A0" w:firstRow="1" w:lastRow="0" w:firstColumn="1" w:lastColumn="0" w:noHBand="0" w:noVBand="1"/>
      </w:tblPr>
      <w:tblGrid>
        <w:gridCol w:w="9878"/>
      </w:tblGrid>
      <w:tr w:rsidR="00EB4A06" w:rsidRPr="00EE6AFA">
        <w:trPr>
          <w:jc w:val="center"/>
        </w:trPr>
        <w:tc>
          <w:tcPr>
            <w:tcW w:w="9878" w:type="dxa"/>
            <w:shd w:val="clear" w:color="auto" w:fill="E8F3F5"/>
            <w:tcMar>
              <w:top w:w="160" w:type="dxa"/>
              <w:left w:w="180" w:type="dxa"/>
              <w:bottom w:w="160" w:type="dxa"/>
              <w:right w:w="180" w:type="dxa"/>
            </w:tcMar>
          </w:tcPr>
          <w:p w:rsidR="00EB4A06" w:rsidRPr="00EE6AFA" w:rsidRDefault="004B31B9">
            <w:pPr>
              <w:rPr>
                <w:lang w:val="fr-FR"/>
              </w:rPr>
            </w:pPr>
            <w:r w:rsidRPr="00EE6AFA">
              <w:rPr>
                <w:b/>
                <w:color w:val="007C91"/>
                <w:sz w:val="22"/>
                <w:lang w:val="fr-FR"/>
              </w:rPr>
              <w:t xml:space="preserve">Décision proposée. </w:t>
            </w:r>
            <w:r w:rsidRPr="00EE6AFA">
              <w:rPr>
                <w:color w:val="143B5D"/>
                <w:sz w:val="22"/>
                <w:lang w:val="fr-FR"/>
              </w:rPr>
              <w:t>Valider un plan en trois axes : sécuriser les médicaments dans les régions les plus exposées, amé</w:t>
            </w:r>
            <w:r w:rsidRPr="00EE6AFA">
              <w:rPr>
                <w:color w:val="143B5D"/>
                <w:sz w:val="22"/>
                <w:lang w:val="fr-FR"/>
              </w:rPr>
              <w:t>liorer l’accès financier et institutionnaliser les contrôles qualité à la saisie.</w:t>
            </w:r>
          </w:p>
        </w:tc>
      </w:tr>
    </w:tbl>
    <w:p w:rsidR="00EB4A06" w:rsidRPr="00EE6AFA" w:rsidRDefault="004B31B9">
      <w:pPr>
        <w:pStyle w:val="Heading1"/>
        <w:rPr>
          <w:lang w:val="fr-FR"/>
        </w:rPr>
      </w:pPr>
      <w:r w:rsidRPr="00EE6AFA">
        <w:rPr>
          <w:lang w:val="fr-FR"/>
        </w:rPr>
        <w:t>Synthèse exécutive</w:t>
      </w:r>
    </w:p>
    <w:p w:rsidR="00EB4A06" w:rsidRPr="00EE6AFA" w:rsidRDefault="004B31B9">
      <w:pPr>
        <w:rPr>
          <w:lang w:val="fr-FR"/>
        </w:rPr>
      </w:pPr>
      <w:r w:rsidRPr="00EE6AFA">
        <w:rPr>
          <w:b/>
          <w:lang w:val="fr-FR"/>
        </w:rPr>
        <w:t xml:space="preserve">Le volume d’activité est stable sur l’année, sans saisonnalité majeure apparente. </w:t>
      </w:r>
      <w:r w:rsidRPr="00EE6AFA">
        <w:rPr>
          <w:lang w:val="fr-FR"/>
        </w:rPr>
        <w:t xml:space="preserve">Le principal signal opérationnel est un taux de rupture de médicaments </w:t>
      </w:r>
      <w:r w:rsidRPr="00EE6AFA">
        <w:rPr>
          <w:lang w:val="fr-FR"/>
        </w:rPr>
        <w:t>de 18,0 %, avec une concentration dans l’Est (20,1 %), le Sud (19,8 %) et le Centre (19,7 %). La vulnérabilité financière est également élevée : 64,8 % des patients dont le statut est connu ne sont pas assurés.</w:t>
      </w:r>
    </w:p>
    <w:p w:rsidR="00EB4A06" w:rsidRPr="00EE6AFA" w:rsidRDefault="004B31B9">
      <w:pPr>
        <w:rPr>
          <w:lang w:val="fr-FR"/>
        </w:rPr>
      </w:pPr>
      <w:r w:rsidRPr="00EE6AFA">
        <w:rPr>
          <w:b/>
          <w:lang w:val="fr-FR"/>
        </w:rPr>
        <w:t>Les urgences représentent 19,5 % des consulta</w:t>
      </w:r>
      <w:r w:rsidRPr="00EE6AFA">
        <w:rPr>
          <w:b/>
          <w:lang w:val="fr-FR"/>
        </w:rPr>
        <w:t xml:space="preserve">tions. </w:t>
      </w:r>
      <w:r w:rsidRPr="00EE6AFA">
        <w:rPr>
          <w:lang w:val="fr-FR"/>
        </w:rPr>
        <w:t>L’anémie arrive en tête des diagnostics renseignés, suivie par la malnutrition et les infections respiratoires. Ces constats justifient un pilotage conjoint de la disponibilité des intrants, de l’accès financier et des pathologies prioritaires.</w:t>
      </w:r>
    </w:p>
    <w:tbl>
      <w:tblPr>
        <w:tblW w:w="0" w:type="auto"/>
        <w:jc w:val="center"/>
        <w:tblLayout w:type="fixed"/>
        <w:tblLook w:val="04A0" w:firstRow="1" w:lastRow="0" w:firstColumn="1" w:lastColumn="0" w:noHBand="0" w:noVBand="1"/>
      </w:tblPr>
      <w:tblGrid>
        <w:gridCol w:w="2304"/>
        <w:gridCol w:w="2304"/>
        <w:gridCol w:w="2304"/>
        <w:gridCol w:w="2304"/>
      </w:tblGrid>
      <w:tr w:rsidR="00EB4A06">
        <w:trPr>
          <w:jc w:val="center"/>
        </w:trPr>
        <w:tc>
          <w:tcPr>
            <w:tcW w:w="2304" w:type="dxa"/>
            <w:shd w:val="clear" w:color="auto" w:fill="143B5D"/>
            <w:tcMar>
              <w:top w:w="120" w:type="dxa"/>
              <w:left w:w="80" w:type="dxa"/>
              <w:bottom w:w="80" w:type="dxa"/>
              <w:right w:w="80" w:type="dxa"/>
            </w:tcMar>
          </w:tcPr>
          <w:p w:rsidR="00EB4A06" w:rsidRDefault="004B31B9">
            <w:pPr>
              <w:jc w:val="center"/>
            </w:pPr>
            <w:r>
              <w:rPr>
                <w:b/>
                <w:color w:val="FFFFFF"/>
                <w:sz w:val="34"/>
              </w:rPr>
              <w:t>10 0</w:t>
            </w:r>
            <w:r>
              <w:rPr>
                <w:b/>
                <w:color w:val="FFFFFF"/>
                <w:sz w:val="34"/>
              </w:rPr>
              <w:t>15</w:t>
            </w:r>
          </w:p>
        </w:tc>
        <w:tc>
          <w:tcPr>
            <w:tcW w:w="2304" w:type="dxa"/>
            <w:shd w:val="clear" w:color="auto" w:fill="143B5D"/>
            <w:tcMar>
              <w:top w:w="120" w:type="dxa"/>
              <w:left w:w="80" w:type="dxa"/>
              <w:bottom w:w="80" w:type="dxa"/>
              <w:right w:w="80" w:type="dxa"/>
            </w:tcMar>
          </w:tcPr>
          <w:p w:rsidR="00EB4A06" w:rsidRDefault="004B31B9">
            <w:pPr>
              <w:jc w:val="center"/>
            </w:pPr>
            <w:r>
              <w:rPr>
                <w:b/>
                <w:color w:val="FFFFFF"/>
                <w:sz w:val="34"/>
              </w:rPr>
              <w:t>18,0 %</w:t>
            </w:r>
          </w:p>
        </w:tc>
        <w:tc>
          <w:tcPr>
            <w:tcW w:w="2304" w:type="dxa"/>
            <w:shd w:val="clear" w:color="auto" w:fill="143B5D"/>
            <w:tcMar>
              <w:top w:w="120" w:type="dxa"/>
              <w:left w:w="80" w:type="dxa"/>
              <w:bottom w:w="80" w:type="dxa"/>
              <w:right w:w="80" w:type="dxa"/>
            </w:tcMar>
          </w:tcPr>
          <w:p w:rsidR="00EB4A06" w:rsidRDefault="004B31B9">
            <w:pPr>
              <w:jc w:val="center"/>
            </w:pPr>
            <w:r>
              <w:rPr>
                <w:b/>
                <w:color w:val="FFFFFF"/>
                <w:sz w:val="34"/>
              </w:rPr>
              <w:t>64,8 %</w:t>
            </w:r>
          </w:p>
        </w:tc>
        <w:tc>
          <w:tcPr>
            <w:tcW w:w="2304" w:type="dxa"/>
            <w:shd w:val="clear" w:color="auto" w:fill="143B5D"/>
            <w:tcMar>
              <w:top w:w="120" w:type="dxa"/>
              <w:left w:w="80" w:type="dxa"/>
              <w:bottom w:w="80" w:type="dxa"/>
              <w:right w:w="80" w:type="dxa"/>
            </w:tcMar>
          </w:tcPr>
          <w:p w:rsidR="00EB4A06" w:rsidRDefault="004B31B9">
            <w:pPr>
              <w:jc w:val="center"/>
            </w:pPr>
            <w:r>
              <w:rPr>
                <w:b/>
                <w:color w:val="FFFFFF"/>
                <w:sz w:val="34"/>
              </w:rPr>
              <w:t>19,5 %</w:t>
            </w:r>
          </w:p>
        </w:tc>
      </w:tr>
      <w:tr w:rsidR="00EB4A06">
        <w:trPr>
          <w:jc w:val="center"/>
        </w:trPr>
        <w:tc>
          <w:tcPr>
            <w:tcW w:w="2304" w:type="dxa"/>
            <w:shd w:val="clear" w:color="auto" w:fill="F3F7F9"/>
            <w:tcMar>
              <w:top w:w="70" w:type="dxa"/>
              <w:left w:w="60" w:type="dxa"/>
              <w:bottom w:w="100" w:type="dxa"/>
              <w:right w:w="60" w:type="dxa"/>
            </w:tcMar>
          </w:tcPr>
          <w:p w:rsidR="00EB4A06" w:rsidRDefault="004B31B9">
            <w:pPr>
              <w:jc w:val="center"/>
            </w:pPr>
            <w:r>
              <w:rPr>
                <w:b/>
                <w:color w:val="64748B"/>
                <w:sz w:val="17"/>
              </w:rPr>
              <w:t>consultations</w:t>
            </w:r>
          </w:p>
        </w:tc>
        <w:tc>
          <w:tcPr>
            <w:tcW w:w="2304" w:type="dxa"/>
            <w:shd w:val="clear" w:color="auto" w:fill="F3F7F9"/>
            <w:tcMar>
              <w:top w:w="70" w:type="dxa"/>
              <w:left w:w="60" w:type="dxa"/>
              <w:bottom w:w="100" w:type="dxa"/>
              <w:right w:w="60" w:type="dxa"/>
            </w:tcMar>
          </w:tcPr>
          <w:p w:rsidR="00EB4A06" w:rsidRDefault="004B31B9">
            <w:pPr>
              <w:jc w:val="center"/>
            </w:pPr>
            <w:r>
              <w:rPr>
                <w:b/>
                <w:color w:val="64748B"/>
                <w:sz w:val="17"/>
              </w:rPr>
              <w:t>ruptures</w:t>
            </w:r>
          </w:p>
        </w:tc>
        <w:tc>
          <w:tcPr>
            <w:tcW w:w="2304" w:type="dxa"/>
            <w:shd w:val="clear" w:color="auto" w:fill="F3F7F9"/>
            <w:tcMar>
              <w:top w:w="70" w:type="dxa"/>
              <w:left w:w="60" w:type="dxa"/>
              <w:bottom w:w="100" w:type="dxa"/>
              <w:right w:w="60" w:type="dxa"/>
            </w:tcMar>
          </w:tcPr>
          <w:p w:rsidR="00EB4A06" w:rsidRDefault="004B31B9">
            <w:pPr>
              <w:jc w:val="center"/>
            </w:pPr>
            <w:r>
              <w:rPr>
                <w:b/>
                <w:color w:val="64748B"/>
                <w:sz w:val="17"/>
              </w:rPr>
              <w:t>non assurés</w:t>
            </w:r>
          </w:p>
        </w:tc>
        <w:tc>
          <w:tcPr>
            <w:tcW w:w="2304" w:type="dxa"/>
            <w:shd w:val="clear" w:color="auto" w:fill="F3F7F9"/>
            <w:tcMar>
              <w:top w:w="70" w:type="dxa"/>
              <w:left w:w="60" w:type="dxa"/>
              <w:bottom w:w="100" w:type="dxa"/>
              <w:right w:w="60" w:type="dxa"/>
            </w:tcMar>
          </w:tcPr>
          <w:p w:rsidR="00EB4A06" w:rsidRDefault="004B31B9">
            <w:pPr>
              <w:jc w:val="center"/>
            </w:pPr>
            <w:r>
              <w:rPr>
                <w:b/>
                <w:color w:val="64748B"/>
                <w:sz w:val="17"/>
              </w:rPr>
              <w:t>urgences</w:t>
            </w:r>
          </w:p>
        </w:tc>
      </w:tr>
    </w:tbl>
    <w:p w:rsidR="00EB4A06" w:rsidRDefault="004B31B9">
      <w:r>
        <w:br w:type="page"/>
      </w:r>
    </w:p>
    <w:p w:rsidR="00EB4A06" w:rsidRDefault="004B31B9">
      <w:pPr>
        <w:pStyle w:val="Heading1"/>
      </w:pPr>
      <w:r>
        <w:lastRenderedPageBreak/>
        <w:t>1. Activité et profil des consultations</w:t>
      </w:r>
    </w:p>
    <w:p w:rsidR="00EB4A06" w:rsidRPr="00EE6AFA" w:rsidRDefault="004B31B9">
      <w:pPr>
        <w:rPr>
          <w:lang w:val="fr-FR"/>
        </w:rPr>
      </w:pPr>
      <w:r w:rsidRPr="00EE6AFA">
        <w:rPr>
          <w:lang w:val="fr-FR"/>
        </w:rPr>
        <w:t xml:space="preserve">Sur 10 300 lignes brutes, 285 doublons ont été supprimés. La base consolidée compte 10 015 consultations, dont 9 815 avec une date exploitable. </w:t>
      </w:r>
      <w:r w:rsidRPr="00EE6AFA">
        <w:rPr>
          <w:lang w:val="fr-FR"/>
        </w:rPr>
        <w:t>Les volumes mensuels varient de 778 à 873 consultations, soit une amplitude modérée de 95 consultations.</w:t>
      </w:r>
    </w:p>
    <w:p w:rsidR="00EB4A06" w:rsidRDefault="004B31B9">
      <w:pPr>
        <w:jc w:val="center"/>
      </w:pPr>
      <w:r>
        <w:rPr>
          <w:noProof/>
        </w:rPr>
        <w:drawing>
          <wp:inline distT="0" distB="0" distL="0" distR="0">
            <wp:extent cx="6080760" cy="25753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ations_mensuelles.png"/>
                    <pic:cNvPicPr/>
                  </pic:nvPicPr>
                  <pic:blipFill>
                    <a:blip r:embed="rId8"/>
                    <a:stretch>
                      <a:fillRect/>
                    </a:stretch>
                  </pic:blipFill>
                  <pic:spPr>
                    <a:xfrm>
                      <a:off x="0" y="0"/>
                      <a:ext cx="6080760" cy="2575381"/>
                    </a:xfrm>
                    <a:prstGeom prst="rect">
                      <a:avLst/>
                    </a:prstGeom>
                  </pic:spPr>
                </pic:pic>
              </a:graphicData>
            </a:graphic>
          </wp:inline>
        </w:drawing>
      </w:r>
    </w:p>
    <w:p w:rsidR="00EB4A06" w:rsidRPr="00EE6AFA" w:rsidRDefault="004B31B9">
      <w:pPr>
        <w:jc w:val="center"/>
        <w:rPr>
          <w:lang w:val="fr-FR"/>
        </w:rPr>
      </w:pPr>
      <w:r w:rsidRPr="00EE6AFA">
        <w:rPr>
          <w:i/>
          <w:color w:val="64748B"/>
          <w:sz w:val="17"/>
          <w:lang w:val="fr-FR"/>
        </w:rPr>
        <w:t>Figure 1 — Consultations mensuelles en 2025.</w:t>
      </w:r>
    </w:p>
    <w:p w:rsidR="00EB4A06" w:rsidRPr="00EE6AFA" w:rsidRDefault="004B31B9">
      <w:pPr>
        <w:pStyle w:val="Heading2"/>
        <w:rPr>
          <w:lang w:val="fr-FR"/>
        </w:rPr>
      </w:pPr>
      <w:r w:rsidRPr="00EE6AFA">
        <w:rPr>
          <w:lang w:val="fr-FR"/>
        </w:rPr>
        <w:t>Lecture managériale</w:t>
      </w:r>
    </w:p>
    <w:p w:rsidR="00EB4A06" w:rsidRPr="00EE6AFA" w:rsidRDefault="004B31B9">
      <w:pPr>
        <w:pStyle w:val="ListBullet"/>
        <w:rPr>
          <w:lang w:val="fr-FR"/>
        </w:rPr>
      </w:pPr>
      <w:r w:rsidRPr="00EE6AFA">
        <w:rPr>
          <w:lang w:val="fr-FR"/>
        </w:rPr>
        <w:t>La stabilité du volume facilite la planification des équipes et des approvisionnemen</w:t>
      </w:r>
      <w:r w:rsidRPr="00EE6AFA">
        <w:rPr>
          <w:lang w:val="fr-FR"/>
        </w:rPr>
        <w:t>ts.</w:t>
      </w:r>
    </w:p>
    <w:p w:rsidR="00EB4A06" w:rsidRPr="00EE6AFA" w:rsidRDefault="004B31B9">
      <w:pPr>
        <w:pStyle w:val="ListBullet"/>
        <w:rPr>
          <w:lang w:val="fr-FR"/>
        </w:rPr>
      </w:pPr>
      <w:r w:rsidRPr="00EE6AFA">
        <w:rPr>
          <w:lang w:val="fr-FR"/>
        </w:rPr>
        <w:t>Les mois de janvier et août sont les plus chargés ; février est le plus faible.</w:t>
      </w:r>
    </w:p>
    <w:p w:rsidR="00EB4A06" w:rsidRPr="00EE6AFA" w:rsidRDefault="004B31B9">
      <w:pPr>
        <w:pStyle w:val="ListBullet"/>
        <w:rPr>
          <w:lang w:val="fr-FR"/>
        </w:rPr>
      </w:pPr>
      <w:r w:rsidRPr="00EE6AFA">
        <w:rPr>
          <w:lang w:val="fr-FR"/>
        </w:rPr>
        <w:t>Le suivi mensuel doit être complété par des seuils d’alerte sur les ruptures et les urgences.</w:t>
      </w:r>
    </w:p>
    <w:p w:rsidR="00EB4A06" w:rsidRPr="00EE6AFA" w:rsidRDefault="004B31B9">
      <w:pPr>
        <w:pStyle w:val="Heading1"/>
        <w:rPr>
          <w:lang w:val="fr-FR"/>
        </w:rPr>
      </w:pPr>
      <w:r w:rsidRPr="00EE6AFA">
        <w:rPr>
          <w:lang w:val="fr-FR"/>
        </w:rPr>
        <w:t>2. Disponibilité des médicaments : priorité géographique</w:t>
      </w:r>
    </w:p>
    <w:p w:rsidR="00EB4A06" w:rsidRPr="00EE6AFA" w:rsidRDefault="004B31B9">
      <w:pPr>
        <w:rPr>
          <w:lang w:val="fr-FR"/>
        </w:rPr>
      </w:pPr>
      <w:r w:rsidRPr="00EE6AFA">
        <w:rPr>
          <w:lang w:val="fr-FR"/>
        </w:rPr>
        <w:t>Le taux national de r</w:t>
      </w:r>
      <w:r w:rsidRPr="00EE6AFA">
        <w:rPr>
          <w:lang w:val="fr-FR"/>
        </w:rPr>
        <w:t>upture atteint 18,0 %. Trois régions dépassent nettement la moyenne et constituent le premier niveau de priorisation : Est, Sud et Centre. À l’inverse, le Nord-Ouest et le Littoral présentent les taux les plus faibles de l’échantillon.</w:t>
      </w:r>
    </w:p>
    <w:p w:rsidR="00EB4A06" w:rsidRDefault="004B31B9">
      <w:pPr>
        <w:jc w:val="center"/>
      </w:pPr>
      <w:r>
        <w:rPr>
          <w:noProof/>
        </w:rPr>
        <w:lastRenderedPageBreak/>
        <w:drawing>
          <wp:inline distT="0" distB="0" distL="0" distR="0">
            <wp:extent cx="5989320" cy="3289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ptures_region.png"/>
                    <pic:cNvPicPr/>
                  </pic:nvPicPr>
                  <pic:blipFill>
                    <a:blip r:embed="rId9"/>
                    <a:stretch>
                      <a:fillRect/>
                    </a:stretch>
                  </pic:blipFill>
                  <pic:spPr>
                    <a:xfrm>
                      <a:off x="0" y="0"/>
                      <a:ext cx="5989320" cy="3289050"/>
                    </a:xfrm>
                    <a:prstGeom prst="rect">
                      <a:avLst/>
                    </a:prstGeom>
                  </pic:spPr>
                </pic:pic>
              </a:graphicData>
            </a:graphic>
          </wp:inline>
        </w:drawing>
      </w:r>
    </w:p>
    <w:p w:rsidR="00EB4A06" w:rsidRPr="00EE6AFA" w:rsidRDefault="004B31B9">
      <w:pPr>
        <w:jc w:val="center"/>
        <w:rPr>
          <w:lang w:val="fr-FR"/>
        </w:rPr>
      </w:pPr>
      <w:r w:rsidRPr="00EE6AFA">
        <w:rPr>
          <w:i/>
          <w:color w:val="64748B"/>
          <w:sz w:val="17"/>
          <w:lang w:val="fr-FR"/>
        </w:rPr>
        <w:t>Figure 2 — Taux de</w:t>
      </w:r>
      <w:r w:rsidRPr="00EE6AFA">
        <w:rPr>
          <w:i/>
          <w:color w:val="64748B"/>
          <w:sz w:val="17"/>
          <w:lang w:val="fr-FR"/>
        </w:rPr>
        <w:t xml:space="preserve"> rupture par région ; ligne pointillée : moyenne nationale.</w:t>
      </w:r>
    </w:p>
    <w:p w:rsidR="00EB4A06" w:rsidRPr="00EE6AFA" w:rsidRDefault="004B31B9">
      <w:pPr>
        <w:rPr>
          <w:lang w:val="fr-FR"/>
        </w:rPr>
      </w:pPr>
      <w:r w:rsidRPr="00EE6AFA">
        <w:rPr>
          <w:lang w:val="fr-FR"/>
        </w:rPr>
        <w:br w:type="page"/>
      </w:r>
    </w:p>
    <w:p w:rsidR="00EB4A06" w:rsidRPr="00EE6AFA" w:rsidRDefault="004B31B9">
      <w:pPr>
        <w:pStyle w:val="Heading1"/>
        <w:rPr>
          <w:lang w:val="fr-FR"/>
        </w:rPr>
      </w:pPr>
      <w:r w:rsidRPr="00EE6AFA">
        <w:rPr>
          <w:lang w:val="fr-FR"/>
        </w:rPr>
        <w:lastRenderedPageBreak/>
        <w:t>3. Diagnostics et besoins de prise en charge</w:t>
      </w:r>
    </w:p>
    <w:p w:rsidR="00EB4A06" w:rsidRPr="00EE6AFA" w:rsidRDefault="004B31B9">
      <w:pPr>
        <w:rPr>
          <w:lang w:val="fr-FR"/>
        </w:rPr>
      </w:pPr>
      <w:r w:rsidRPr="00EE6AFA">
        <w:rPr>
          <w:lang w:val="fr-FR"/>
        </w:rPr>
        <w:t>Parmi les diagnostics renseignés, l’anémie est la plus fréquente avec 1 121 consultations. La malnutrition (1 087) et les infections respiratoires (1</w:t>
      </w:r>
      <w:r w:rsidRPr="00EE6AFA">
        <w:rPr>
          <w:lang w:val="fr-FR"/>
        </w:rPr>
        <w:t xml:space="preserve"> 057) complètent le trio de tête. Les volumes restent néanmoins relativement proches entre les principaux diagnostics.</w:t>
      </w:r>
    </w:p>
    <w:p w:rsidR="00EB4A06" w:rsidRDefault="004B31B9">
      <w:pPr>
        <w:jc w:val="center"/>
      </w:pPr>
      <w:r>
        <w:rPr>
          <w:noProof/>
        </w:rPr>
        <w:drawing>
          <wp:inline distT="0" distB="0" distL="0" distR="0">
            <wp:extent cx="5989320" cy="30697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nostics.png"/>
                    <pic:cNvPicPr/>
                  </pic:nvPicPr>
                  <pic:blipFill>
                    <a:blip r:embed="rId10"/>
                    <a:stretch>
                      <a:fillRect/>
                    </a:stretch>
                  </pic:blipFill>
                  <pic:spPr>
                    <a:xfrm>
                      <a:off x="0" y="0"/>
                      <a:ext cx="5989320" cy="3069780"/>
                    </a:xfrm>
                    <a:prstGeom prst="rect">
                      <a:avLst/>
                    </a:prstGeom>
                  </pic:spPr>
                </pic:pic>
              </a:graphicData>
            </a:graphic>
          </wp:inline>
        </w:drawing>
      </w:r>
    </w:p>
    <w:p w:rsidR="00EB4A06" w:rsidRPr="00EE6AFA" w:rsidRDefault="004B31B9">
      <w:pPr>
        <w:jc w:val="center"/>
        <w:rPr>
          <w:lang w:val="fr-FR"/>
        </w:rPr>
      </w:pPr>
      <w:r w:rsidRPr="00EE6AFA">
        <w:rPr>
          <w:i/>
          <w:color w:val="64748B"/>
          <w:sz w:val="17"/>
          <w:lang w:val="fr-FR"/>
        </w:rPr>
        <w:t>Figure 3 — Huit diagnostics les plus fréquents, hors valeurs non renseignées.</w:t>
      </w:r>
    </w:p>
    <w:p w:rsidR="00EB4A06" w:rsidRPr="00EE6AFA" w:rsidRDefault="004B31B9">
      <w:pPr>
        <w:pStyle w:val="Heading1"/>
        <w:rPr>
          <w:lang w:val="fr-FR"/>
        </w:rPr>
      </w:pPr>
      <w:r w:rsidRPr="00EE6AFA">
        <w:rPr>
          <w:lang w:val="fr-FR"/>
        </w:rPr>
        <w:t>4. Accès financier et recours aux urgences</w:t>
      </w:r>
    </w:p>
    <w:tbl>
      <w:tblPr>
        <w:tblW w:w="0" w:type="auto"/>
        <w:jc w:val="center"/>
        <w:tblLook w:val="04A0" w:firstRow="1" w:lastRow="0" w:firstColumn="1" w:lastColumn="0" w:noHBand="0" w:noVBand="1"/>
      </w:tblPr>
      <w:tblGrid>
        <w:gridCol w:w="3293"/>
        <w:gridCol w:w="3293"/>
        <w:gridCol w:w="3293"/>
      </w:tblGrid>
      <w:tr w:rsidR="00EB4A06" w:rsidRPr="00EE6AFA">
        <w:trPr>
          <w:jc w:val="center"/>
        </w:trPr>
        <w:tc>
          <w:tcPr>
            <w:tcW w:w="3293" w:type="dxa"/>
            <w:shd w:val="clear" w:color="auto" w:fill="F3F7F9"/>
            <w:tcMar>
              <w:top w:w="130" w:type="dxa"/>
              <w:left w:w="120" w:type="dxa"/>
              <w:bottom w:w="130" w:type="dxa"/>
              <w:right w:w="120" w:type="dxa"/>
            </w:tcMar>
          </w:tcPr>
          <w:p w:rsidR="00EB4A06" w:rsidRPr="00EE6AFA" w:rsidRDefault="004B31B9">
            <w:pPr>
              <w:rPr>
                <w:lang w:val="fr-FR"/>
              </w:rPr>
            </w:pPr>
            <w:r w:rsidRPr="00EE6AFA">
              <w:rPr>
                <w:b/>
                <w:color w:val="64748B"/>
                <w:sz w:val="16"/>
                <w:lang w:val="fr-FR"/>
              </w:rPr>
              <w:t>ASSURANCE</w:t>
            </w:r>
            <w:r w:rsidRPr="00EE6AFA">
              <w:rPr>
                <w:b/>
                <w:color w:val="64748B"/>
                <w:sz w:val="16"/>
                <w:lang w:val="fr-FR"/>
              </w:rPr>
              <w:br/>
            </w:r>
            <w:r w:rsidRPr="00EE6AFA">
              <w:rPr>
                <w:b/>
                <w:color w:val="143B5D"/>
                <w:sz w:val="36"/>
                <w:lang w:val="fr-FR"/>
              </w:rPr>
              <w:t>64,8</w:t>
            </w:r>
            <w:r w:rsidRPr="00EE6AFA">
              <w:rPr>
                <w:b/>
                <w:color w:val="143B5D"/>
                <w:sz w:val="36"/>
                <w:lang w:val="fr-FR"/>
              </w:rPr>
              <w:t xml:space="preserve"> %</w:t>
            </w:r>
            <w:r w:rsidRPr="00EE6AFA">
              <w:rPr>
                <w:b/>
                <w:color w:val="143B5D"/>
                <w:sz w:val="36"/>
                <w:lang w:val="fr-FR"/>
              </w:rPr>
              <w:br/>
            </w:r>
            <w:r w:rsidRPr="00EE6AFA">
              <w:rPr>
                <w:color w:val="64748B"/>
                <w:sz w:val="17"/>
                <w:lang w:val="fr-FR"/>
              </w:rPr>
              <w:t>non assurés parmi les statuts connus</w:t>
            </w:r>
          </w:p>
        </w:tc>
        <w:tc>
          <w:tcPr>
            <w:tcW w:w="3293" w:type="dxa"/>
            <w:shd w:val="clear" w:color="auto" w:fill="F3F7F9"/>
            <w:tcMar>
              <w:top w:w="130" w:type="dxa"/>
              <w:left w:w="120" w:type="dxa"/>
              <w:bottom w:w="130" w:type="dxa"/>
              <w:right w:w="120" w:type="dxa"/>
            </w:tcMar>
          </w:tcPr>
          <w:p w:rsidR="00EB4A06" w:rsidRDefault="004B31B9">
            <w:r>
              <w:rPr>
                <w:b/>
                <w:color w:val="64748B"/>
                <w:sz w:val="16"/>
              </w:rPr>
              <w:t>URGENCES</w:t>
            </w:r>
            <w:r>
              <w:rPr>
                <w:b/>
                <w:color w:val="64748B"/>
                <w:sz w:val="16"/>
              </w:rPr>
              <w:br/>
            </w:r>
            <w:r>
              <w:rPr>
                <w:b/>
                <w:color w:val="143B5D"/>
                <w:sz w:val="36"/>
              </w:rPr>
              <w:t>19,5 %</w:t>
            </w:r>
            <w:r>
              <w:rPr>
                <w:b/>
                <w:color w:val="143B5D"/>
                <w:sz w:val="36"/>
              </w:rPr>
              <w:br/>
            </w:r>
            <w:r>
              <w:rPr>
                <w:color w:val="64748B"/>
                <w:sz w:val="17"/>
              </w:rPr>
              <w:t>des consultations</w:t>
            </w:r>
          </w:p>
        </w:tc>
        <w:tc>
          <w:tcPr>
            <w:tcW w:w="3293" w:type="dxa"/>
            <w:shd w:val="clear" w:color="auto" w:fill="F3F7F9"/>
            <w:tcMar>
              <w:top w:w="130" w:type="dxa"/>
              <w:left w:w="120" w:type="dxa"/>
              <w:bottom w:w="130" w:type="dxa"/>
              <w:right w:w="120" w:type="dxa"/>
            </w:tcMar>
          </w:tcPr>
          <w:p w:rsidR="00EB4A06" w:rsidRPr="00EE6AFA" w:rsidRDefault="004B31B9">
            <w:pPr>
              <w:rPr>
                <w:lang w:val="fr-FR"/>
              </w:rPr>
            </w:pPr>
            <w:r w:rsidRPr="00EE6AFA">
              <w:rPr>
                <w:b/>
                <w:color w:val="64748B"/>
                <w:sz w:val="16"/>
                <w:lang w:val="fr-FR"/>
              </w:rPr>
              <w:t>COÛT MÉDIAN</w:t>
            </w:r>
            <w:r w:rsidRPr="00EE6AFA">
              <w:rPr>
                <w:b/>
                <w:color w:val="64748B"/>
                <w:sz w:val="16"/>
                <w:lang w:val="fr-FR"/>
              </w:rPr>
              <w:br/>
            </w:r>
            <w:r w:rsidRPr="00EE6AFA">
              <w:rPr>
                <w:b/>
                <w:color w:val="143B5D"/>
                <w:sz w:val="36"/>
                <w:lang w:val="fr-FR"/>
              </w:rPr>
              <w:t>16,35</w:t>
            </w:r>
            <w:r w:rsidRPr="00EE6AFA">
              <w:rPr>
                <w:b/>
                <w:color w:val="143B5D"/>
                <w:sz w:val="36"/>
                <w:lang w:val="fr-FR"/>
              </w:rPr>
              <w:br/>
            </w:r>
            <w:r w:rsidRPr="00EE6AFA">
              <w:rPr>
                <w:color w:val="64748B"/>
                <w:sz w:val="17"/>
                <w:lang w:val="fr-FR"/>
              </w:rPr>
              <w:t>unités monétaires, coûts valides</w:t>
            </w:r>
          </w:p>
        </w:tc>
      </w:tr>
    </w:tbl>
    <w:p w:rsidR="00EB4A06" w:rsidRPr="00EE6AFA" w:rsidRDefault="004B31B9">
      <w:pPr>
        <w:rPr>
          <w:lang w:val="fr-FR"/>
        </w:rPr>
      </w:pPr>
      <w:r w:rsidRPr="00EE6AFA">
        <w:rPr>
          <w:lang w:val="fr-FR"/>
        </w:rPr>
        <w:t>La combinaison d’un faible niveau de couverture et d’une part significative d’urgences peut accroître le risque de renoncement aux</w:t>
      </w:r>
      <w:r w:rsidRPr="00EE6AFA">
        <w:rPr>
          <w:lang w:val="fr-FR"/>
        </w:rPr>
        <w:t xml:space="preserve"> soins ou de recours tardif. Les données disponibles ne permettent pas d’établir une causalité ; elles justifient toutefois un suivi croisé par région, type de consultation et statut d’assurance.</w:t>
      </w:r>
    </w:p>
    <w:p w:rsidR="00EB4A06" w:rsidRPr="00EE6AFA" w:rsidRDefault="004B31B9">
      <w:pPr>
        <w:pStyle w:val="Heading1"/>
        <w:rPr>
          <w:lang w:val="fr-FR"/>
        </w:rPr>
      </w:pPr>
      <w:r w:rsidRPr="00EE6AFA">
        <w:rPr>
          <w:lang w:val="fr-FR"/>
        </w:rPr>
        <w:t>5. Recommandations soumises à validation</w:t>
      </w:r>
    </w:p>
    <w:p w:rsidR="00EB4A06" w:rsidRPr="00EE6AFA" w:rsidRDefault="004B31B9">
      <w:pPr>
        <w:spacing w:before="100" w:after="40"/>
        <w:rPr>
          <w:lang w:val="fr-FR"/>
        </w:rPr>
      </w:pPr>
      <w:r w:rsidRPr="00EE6AFA">
        <w:rPr>
          <w:b/>
          <w:color w:val="007C91"/>
          <w:sz w:val="22"/>
          <w:lang w:val="fr-FR"/>
        </w:rPr>
        <w:t>1. Sécuriser les mé</w:t>
      </w:r>
      <w:r w:rsidRPr="00EE6AFA">
        <w:rPr>
          <w:b/>
          <w:color w:val="007C91"/>
          <w:sz w:val="22"/>
          <w:lang w:val="fr-FR"/>
        </w:rPr>
        <w:t>dicaments</w:t>
      </w:r>
    </w:p>
    <w:p w:rsidR="00EB4A06" w:rsidRPr="00EE6AFA" w:rsidRDefault="004B31B9">
      <w:pPr>
        <w:ind w:left="360"/>
        <w:rPr>
          <w:lang w:val="fr-FR"/>
        </w:rPr>
      </w:pPr>
      <w:r w:rsidRPr="00EE6AFA">
        <w:rPr>
          <w:lang w:val="fr-FR"/>
        </w:rPr>
        <w:t>Cibler en priorité l’Est, le Sud et le Centre ; suivre chaque mois les produits en rupture, la durée et le délai de réapprovisionnement.</w:t>
      </w:r>
    </w:p>
    <w:p w:rsidR="00EB4A06" w:rsidRPr="00EE6AFA" w:rsidRDefault="004B31B9">
      <w:pPr>
        <w:spacing w:after="140"/>
        <w:ind w:left="360"/>
        <w:rPr>
          <w:lang w:val="fr-FR"/>
        </w:rPr>
      </w:pPr>
      <w:r w:rsidRPr="00EE6AFA">
        <w:rPr>
          <w:b/>
          <w:color w:val="64748B"/>
          <w:sz w:val="18"/>
          <w:lang w:val="fr-FR"/>
        </w:rPr>
        <w:t xml:space="preserve">Pilote proposé : </w:t>
      </w:r>
      <w:r w:rsidRPr="00EE6AFA">
        <w:rPr>
          <w:color w:val="64748B"/>
          <w:sz w:val="18"/>
          <w:lang w:val="fr-FR"/>
        </w:rPr>
        <w:t>Direction des opérations / pharmacie</w:t>
      </w:r>
    </w:p>
    <w:p w:rsidR="00EB4A06" w:rsidRPr="00EE6AFA" w:rsidRDefault="004B31B9">
      <w:pPr>
        <w:spacing w:before="100" w:after="40"/>
        <w:rPr>
          <w:lang w:val="fr-FR"/>
        </w:rPr>
      </w:pPr>
      <w:r w:rsidRPr="00EE6AFA">
        <w:rPr>
          <w:b/>
          <w:color w:val="007C91"/>
          <w:sz w:val="22"/>
          <w:lang w:val="fr-FR"/>
        </w:rPr>
        <w:t>2. Améliorer l’accès financier</w:t>
      </w:r>
    </w:p>
    <w:p w:rsidR="00EB4A06" w:rsidRPr="00EE6AFA" w:rsidRDefault="004B31B9">
      <w:pPr>
        <w:ind w:left="360"/>
        <w:rPr>
          <w:lang w:val="fr-FR"/>
        </w:rPr>
      </w:pPr>
      <w:r w:rsidRPr="00EE6AFA">
        <w:rPr>
          <w:lang w:val="fr-FR"/>
        </w:rPr>
        <w:t xml:space="preserve">Segmenter les patients </w:t>
      </w:r>
      <w:r w:rsidRPr="00EE6AFA">
        <w:rPr>
          <w:lang w:val="fr-FR"/>
        </w:rPr>
        <w:t>non assurés par région et profil ; étudier des mécanismes d’orientation, de prise en charge ou de partenariat.</w:t>
      </w:r>
    </w:p>
    <w:p w:rsidR="00EB4A06" w:rsidRPr="00EE6AFA" w:rsidRDefault="004B31B9">
      <w:pPr>
        <w:spacing w:after="140"/>
        <w:ind w:left="360"/>
        <w:rPr>
          <w:lang w:val="fr-FR"/>
        </w:rPr>
      </w:pPr>
      <w:r w:rsidRPr="00EE6AFA">
        <w:rPr>
          <w:b/>
          <w:color w:val="64748B"/>
          <w:sz w:val="18"/>
          <w:lang w:val="fr-FR"/>
        </w:rPr>
        <w:t xml:space="preserve">Pilote proposé : </w:t>
      </w:r>
      <w:r w:rsidRPr="00EE6AFA">
        <w:rPr>
          <w:color w:val="64748B"/>
          <w:sz w:val="18"/>
          <w:lang w:val="fr-FR"/>
        </w:rPr>
        <w:t>Direction médicale / partenariats</w:t>
      </w:r>
    </w:p>
    <w:p w:rsidR="00EB4A06" w:rsidRPr="00EE6AFA" w:rsidRDefault="004B31B9">
      <w:pPr>
        <w:spacing w:before="100" w:after="40"/>
        <w:rPr>
          <w:lang w:val="fr-FR"/>
        </w:rPr>
      </w:pPr>
      <w:r w:rsidRPr="00EE6AFA">
        <w:rPr>
          <w:b/>
          <w:color w:val="007C91"/>
          <w:sz w:val="22"/>
          <w:lang w:val="fr-FR"/>
        </w:rPr>
        <w:lastRenderedPageBreak/>
        <w:t>3. Piloter les pathologies prioritaires</w:t>
      </w:r>
    </w:p>
    <w:p w:rsidR="00EB4A06" w:rsidRPr="00EE6AFA" w:rsidRDefault="004B31B9">
      <w:pPr>
        <w:ind w:left="360"/>
        <w:rPr>
          <w:lang w:val="fr-FR"/>
        </w:rPr>
      </w:pPr>
      <w:r w:rsidRPr="00EE6AFA">
        <w:rPr>
          <w:lang w:val="fr-FR"/>
        </w:rPr>
        <w:t>Mettre sous revue l’anémie, la malnutrition et les inf</w:t>
      </w:r>
      <w:r w:rsidRPr="00EE6AFA">
        <w:rPr>
          <w:lang w:val="fr-FR"/>
        </w:rPr>
        <w:t>ections respiratoires : volumes, protocoles, intrants et prévention.</w:t>
      </w:r>
    </w:p>
    <w:p w:rsidR="00EB4A06" w:rsidRPr="00EE6AFA" w:rsidRDefault="004B31B9">
      <w:pPr>
        <w:spacing w:after="140"/>
        <w:ind w:left="360"/>
        <w:rPr>
          <w:lang w:val="fr-FR"/>
        </w:rPr>
      </w:pPr>
      <w:r w:rsidRPr="00EE6AFA">
        <w:rPr>
          <w:b/>
          <w:color w:val="64748B"/>
          <w:sz w:val="18"/>
          <w:lang w:val="fr-FR"/>
        </w:rPr>
        <w:t xml:space="preserve">Pilote proposé : </w:t>
      </w:r>
      <w:r w:rsidRPr="00EE6AFA">
        <w:rPr>
          <w:color w:val="64748B"/>
          <w:sz w:val="18"/>
          <w:lang w:val="fr-FR"/>
        </w:rPr>
        <w:t>Direction médicale</w:t>
      </w:r>
    </w:p>
    <w:p w:rsidR="00EB4A06" w:rsidRPr="00EE6AFA" w:rsidRDefault="004B31B9">
      <w:pPr>
        <w:spacing w:before="100" w:after="40"/>
        <w:rPr>
          <w:lang w:val="fr-FR"/>
        </w:rPr>
      </w:pPr>
      <w:r w:rsidRPr="00EE6AFA">
        <w:rPr>
          <w:b/>
          <w:color w:val="007C91"/>
          <w:sz w:val="22"/>
          <w:lang w:val="fr-FR"/>
        </w:rPr>
        <w:t>4. Fiabiliser la saisie</w:t>
      </w:r>
    </w:p>
    <w:p w:rsidR="00EB4A06" w:rsidRPr="00EE6AFA" w:rsidRDefault="004B31B9">
      <w:pPr>
        <w:ind w:left="360"/>
        <w:rPr>
          <w:lang w:val="fr-FR"/>
        </w:rPr>
      </w:pPr>
      <w:r w:rsidRPr="00EE6AFA">
        <w:rPr>
          <w:lang w:val="fr-FR"/>
        </w:rPr>
        <w:t>Déployer des listes fermées, règles de validité sur dates, âges et coûts, et une revue mensuelle des anomalies.</w:t>
      </w:r>
    </w:p>
    <w:p w:rsidR="00EB4A06" w:rsidRPr="00EE6AFA" w:rsidRDefault="004B31B9">
      <w:pPr>
        <w:spacing w:after="140"/>
        <w:ind w:left="360"/>
        <w:rPr>
          <w:lang w:val="fr-FR"/>
        </w:rPr>
      </w:pPr>
      <w:r w:rsidRPr="00EE6AFA">
        <w:rPr>
          <w:b/>
          <w:color w:val="64748B"/>
          <w:sz w:val="18"/>
          <w:lang w:val="fr-FR"/>
        </w:rPr>
        <w:t xml:space="preserve">Pilote proposé </w:t>
      </w:r>
      <w:r w:rsidRPr="00EE6AFA">
        <w:rPr>
          <w:b/>
          <w:color w:val="64748B"/>
          <w:sz w:val="18"/>
          <w:lang w:val="fr-FR"/>
        </w:rPr>
        <w:t xml:space="preserve">: </w:t>
      </w:r>
      <w:r w:rsidRPr="00EE6AFA">
        <w:rPr>
          <w:color w:val="64748B"/>
          <w:sz w:val="18"/>
          <w:lang w:val="fr-FR"/>
        </w:rPr>
        <w:t>SI / qualité</w:t>
      </w:r>
    </w:p>
    <w:p w:rsidR="00EB4A06" w:rsidRPr="00EE6AFA" w:rsidRDefault="004B31B9">
      <w:pPr>
        <w:rPr>
          <w:lang w:val="fr-FR"/>
        </w:rPr>
      </w:pPr>
      <w:r w:rsidRPr="00EE6AFA">
        <w:rPr>
          <w:lang w:val="fr-FR"/>
        </w:rPr>
        <w:br w:type="page"/>
      </w:r>
    </w:p>
    <w:p w:rsidR="00EB4A06" w:rsidRPr="00EE6AFA" w:rsidRDefault="004B31B9">
      <w:pPr>
        <w:pStyle w:val="Heading1"/>
        <w:rPr>
          <w:lang w:val="fr-FR"/>
        </w:rPr>
      </w:pPr>
      <w:r w:rsidRPr="00EE6AFA">
        <w:rPr>
          <w:lang w:val="fr-FR"/>
        </w:rPr>
        <w:lastRenderedPageBreak/>
        <w:t>6. Feuille de route sur 90 jours</w:t>
      </w:r>
    </w:p>
    <w:tbl>
      <w:tblPr>
        <w:tblW w:w="0" w:type="auto"/>
        <w:jc w:val="center"/>
        <w:tblLook w:val="04A0" w:firstRow="1" w:lastRow="0" w:firstColumn="1" w:lastColumn="0" w:noHBand="0" w:noVBand="1"/>
      </w:tblPr>
      <w:tblGrid>
        <w:gridCol w:w="1296"/>
        <w:gridCol w:w="2880"/>
        <w:gridCol w:w="2520"/>
        <w:gridCol w:w="2664"/>
      </w:tblGrid>
      <w:tr w:rsidR="00EB4A06">
        <w:trPr>
          <w:tblHeader/>
          <w:jc w:val="center"/>
        </w:trPr>
        <w:tc>
          <w:tcPr>
            <w:tcW w:w="1296" w:type="dxa"/>
            <w:shd w:val="clear" w:color="auto" w:fill="143B5D"/>
            <w:tcMar>
              <w:top w:w="100" w:type="dxa"/>
              <w:left w:w="120" w:type="dxa"/>
              <w:bottom w:w="100" w:type="dxa"/>
              <w:right w:w="120" w:type="dxa"/>
            </w:tcMar>
            <w:vAlign w:val="center"/>
          </w:tcPr>
          <w:p w:rsidR="00EB4A06" w:rsidRDefault="004B31B9">
            <w:r>
              <w:rPr>
                <w:b/>
                <w:color w:val="FFFFFF"/>
                <w:sz w:val="17"/>
              </w:rPr>
              <w:t>Horizon</w:t>
            </w:r>
          </w:p>
        </w:tc>
        <w:tc>
          <w:tcPr>
            <w:tcW w:w="2880" w:type="dxa"/>
            <w:shd w:val="clear" w:color="auto" w:fill="143B5D"/>
            <w:tcMar>
              <w:top w:w="100" w:type="dxa"/>
              <w:left w:w="120" w:type="dxa"/>
              <w:bottom w:w="100" w:type="dxa"/>
              <w:right w:w="120" w:type="dxa"/>
            </w:tcMar>
            <w:vAlign w:val="center"/>
          </w:tcPr>
          <w:p w:rsidR="00EB4A06" w:rsidRDefault="004B31B9">
            <w:r>
              <w:rPr>
                <w:b/>
                <w:color w:val="FFFFFF"/>
                <w:sz w:val="17"/>
              </w:rPr>
              <w:t>Action clé</w:t>
            </w:r>
          </w:p>
        </w:tc>
        <w:tc>
          <w:tcPr>
            <w:tcW w:w="2520" w:type="dxa"/>
            <w:shd w:val="clear" w:color="auto" w:fill="143B5D"/>
            <w:tcMar>
              <w:top w:w="100" w:type="dxa"/>
              <w:left w:w="120" w:type="dxa"/>
              <w:bottom w:w="100" w:type="dxa"/>
              <w:right w:w="120" w:type="dxa"/>
            </w:tcMar>
            <w:vAlign w:val="center"/>
          </w:tcPr>
          <w:p w:rsidR="00EB4A06" w:rsidRDefault="004B31B9">
            <w:r>
              <w:rPr>
                <w:b/>
                <w:color w:val="FFFFFF"/>
                <w:sz w:val="17"/>
              </w:rPr>
              <w:t>Livrable attendu</w:t>
            </w:r>
          </w:p>
        </w:tc>
        <w:tc>
          <w:tcPr>
            <w:tcW w:w="2664" w:type="dxa"/>
            <w:shd w:val="clear" w:color="auto" w:fill="143B5D"/>
            <w:tcMar>
              <w:top w:w="100" w:type="dxa"/>
              <w:left w:w="120" w:type="dxa"/>
              <w:bottom w:w="100" w:type="dxa"/>
              <w:right w:w="120" w:type="dxa"/>
            </w:tcMar>
            <w:vAlign w:val="center"/>
          </w:tcPr>
          <w:p w:rsidR="00EB4A06" w:rsidRDefault="004B31B9">
            <w:r>
              <w:rPr>
                <w:b/>
                <w:color w:val="FFFFFF"/>
                <w:sz w:val="17"/>
              </w:rPr>
              <w:t>Indicateur de succès</w:t>
            </w:r>
          </w:p>
        </w:tc>
      </w:tr>
      <w:tr w:rsidR="00EB4A06" w:rsidRPr="00EE6AFA">
        <w:trPr>
          <w:jc w:val="center"/>
        </w:trPr>
        <w:tc>
          <w:tcPr>
            <w:tcW w:w="1296" w:type="dxa"/>
            <w:tcMar>
              <w:top w:w="100" w:type="dxa"/>
              <w:left w:w="100" w:type="dxa"/>
              <w:bottom w:w="100" w:type="dxa"/>
              <w:right w:w="100" w:type="dxa"/>
            </w:tcMar>
            <w:vAlign w:val="center"/>
          </w:tcPr>
          <w:p w:rsidR="00EB4A06" w:rsidRDefault="004B31B9">
            <w:r>
              <w:rPr>
                <w:b/>
                <w:color w:val="143B5D"/>
                <w:sz w:val="17"/>
              </w:rPr>
              <w:t>0–30 jours</w:t>
            </w:r>
          </w:p>
        </w:tc>
        <w:tc>
          <w:tcPr>
            <w:tcW w:w="2880" w:type="dxa"/>
            <w:tcMar>
              <w:top w:w="100" w:type="dxa"/>
              <w:left w:w="100" w:type="dxa"/>
              <w:bottom w:w="100" w:type="dxa"/>
              <w:right w:w="100" w:type="dxa"/>
            </w:tcMar>
            <w:vAlign w:val="center"/>
          </w:tcPr>
          <w:p w:rsidR="00EB4A06" w:rsidRPr="00EE6AFA" w:rsidRDefault="004B31B9">
            <w:pPr>
              <w:rPr>
                <w:lang w:val="fr-FR"/>
              </w:rPr>
            </w:pPr>
            <w:r w:rsidRPr="00EE6AFA">
              <w:rPr>
                <w:sz w:val="17"/>
                <w:lang w:val="fr-FR"/>
              </w:rPr>
              <w:t>Valider les priorités et responsables</w:t>
            </w:r>
          </w:p>
        </w:tc>
        <w:tc>
          <w:tcPr>
            <w:tcW w:w="2520" w:type="dxa"/>
            <w:tcMar>
              <w:top w:w="100" w:type="dxa"/>
              <w:left w:w="100" w:type="dxa"/>
              <w:bottom w:w="100" w:type="dxa"/>
              <w:right w:w="100" w:type="dxa"/>
            </w:tcMar>
            <w:vAlign w:val="center"/>
          </w:tcPr>
          <w:p w:rsidR="00EB4A06" w:rsidRPr="00EE6AFA" w:rsidRDefault="004B31B9">
            <w:pPr>
              <w:rPr>
                <w:lang w:val="fr-FR"/>
              </w:rPr>
            </w:pPr>
            <w:r w:rsidRPr="00EE6AFA">
              <w:rPr>
                <w:sz w:val="17"/>
                <w:lang w:val="fr-FR"/>
              </w:rPr>
              <w:t>Plan d’action signé ; base de référence</w:t>
            </w:r>
          </w:p>
        </w:tc>
        <w:tc>
          <w:tcPr>
            <w:tcW w:w="2664" w:type="dxa"/>
            <w:tcMar>
              <w:top w:w="100" w:type="dxa"/>
              <w:left w:w="100" w:type="dxa"/>
              <w:bottom w:w="100" w:type="dxa"/>
              <w:right w:w="100" w:type="dxa"/>
            </w:tcMar>
            <w:vAlign w:val="center"/>
          </w:tcPr>
          <w:p w:rsidR="00EB4A06" w:rsidRPr="00EE6AFA" w:rsidRDefault="004B31B9">
            <w:pPr>
              <w:rPr>
                <w:lang w:val="fr-FR"/>
              </w:rPr>
            </w:pPr>
            <w:r w:rsidRPr="00EE6AFA">
              <w:rPr>
                <w:sz w:val="17"/>
                <w:lang w:val="fr-FR"/>
              </w:rPr>
              <w:t>Responsables nommés ; définitions KPI validées</w:t>
            </w:r>
          </w:p>
        </w:tc>
      </w:tr>
      <w:tr w:rsidR="00EB4A06" w:rsidRPr="00EE6AFA">
        <w:trPr>
          <w:jc w:val="center"/>
        </w:trPr>
        <w:tc>
          <w:tcPr>
            <w:tcW w:w="1296" w:type="dxa"/>
            <w:shd w:val="clear" w:color="auto" w:fill="F7FAFB"/>
            <w:tcMar>
              <w:top w:w="100" w:type="dxa"/>
              <w:left w:w="100" w:type="dxa"/>
              <w:bottom w:w="100" w:type="dxa"/>
              <w:right w:w="100" w:type="dxa"/>
            </w:tcMar>
            <w:vAlign w:val="center"/>
          </w:tcPr>
          <w:p w:rsidR="00EB4A06" w:rsidRDefault="004B31B9">
            <w:r>
              <w:rPr>
                <w:b/>
                <w:color w:val="143B5D"/>
                <w:sz w:val="17"/>
              </w:rPr>
              <w:t>31–60 jours</w:t>
            </w:r>
          </w:p>
        </w:tc>
        <w:tc>
          <w:tcPr>
            <w:tcW w:w="2880" w:type="dxa"/>
            <w:shd w:val="clear" w:color="auto" w:fill="F7FAFB"/>
            <w:tcMar>
              <w:top w:w="100" w:type="dxa"/>
              <w:left w:w="100" w:type="dxa"/>
              <w:bottom w:w="100" w:type="dxa"/>
              <w:right w:w="100" w:type="dxa"/>
            </w:tcMar>
            <w:vAlign w:val="center"/>
          </w:tcPr>
          <w:p w:rsidR="00EB4A06" w:rsidRPr="00EE6AFA" w:rsidRDefault="004B31B9">
            <w:pPr>
              <w:rPr>
                <w:lang w:val="fr-FR"/>
              </w:rPr>
            </w:pPr>
            <w:r w:rsidRPr="00EE6AFA">
              <w:rPr>
                <w:sz w:val="17"/>
                <w:lang w:val="fr-FR"/>
              </w:rPr>
              <w:t>Lancer les revues régionales et qualité</w:t>
            </w:r>
          </w:p>
        </w:tc>
        <w:tc>
          <w:tcPr>
            <w:tcW w:w="2520" w:type="dxa"/>
            <w:shd w:val="clear" w:color="auto" w:fill="F7FAFB"/>
            <w:tcMar>
              <w:top w:w="100" w:type="dxa"/>
              <w:left w:w="100" w:type="dxa"/>
              <w:bottom w:w="100" w:type="dxa"/>
              <w:right w:w="100" w:type="dxa"/>
            </w:tcMar>
            <w:vAlign w:val="center"/>
          </w:tcPr>
          <w:p w:rsidR="00EB4A06" w:rsidRDefault="004B31B9">
            <w:r>
              <w:rPr>
                <w:sz w:val="17"/>
              </w:rPr>
              <w:t>Tableau de suivi mensuel</w:t>
            </w:r>
          </w:p>
        </w:tc>
        <w:tc>
          <w:tcPr>
            <w:tcW w:w="2664" w:type="dxa"/>
            <w:shd w:val="clear" w:color="auto" w:fill="F7FAFB"/>
            <w:tcMar>
              <w:top w:w="100" w:type="dxa"/>
              <w:left w:w="100" w:type="dxa"/>
              <w:bottom w:w="100" w:type="dxa"/>
              <w:right w:w="100" w:type="dxa"/>
            </w:tcMar>
            <w:vAlign w:val="center"/>
          </w:tcPr>
          <w:p w:rsidR="00EB4A06" w:rsidRPr="00EE6AFA" w:rsidRDefault="004B31B9">
            <w:pPr>
              <w:rPr>
                <w:lang w:val="fr-FR"/>
              </w:rPr>
            </w:pPr>
            <w:r w:rsidRPr="00EE6AFA">
              <w:rPr>
                <w:sz w:val="17"/>
                <w:lang w:val="fr-FR"/>
              </w:rPr>
              <w:t>Ruptures documentées par produit et durée</w:t>
            </w:r>
          </w:p>
        </w:tc>
      </w:tr>
      <w:tr w:rsidR="00EB4A06" w:rsidRPr="00EE6AFA">
        <w:trPr>
          <w:jc w:val="center"/>
        </w:trPr>
        <w:tc>
          <w:tcPr>
            <w:tcW w:w="1296" w:type="dxa"/>
            <w:tcMar>
              <w:top w:w="100" w:type="dxa"/>
              <w:left w:w="100" w:type="dxa"/>
              <w:bottom w:w="100" w:type="dxa"/>
              <w:right w:w="100" w:type="dxa"/>
            </w:tcMar>
            <w:vAlign w:val="center"/>
          </w:tcPr>
          <w:p w:rsidR="00EB4A06" w:rsidRDefault="004B31B9">
            <w:r>
              <w:rPr>
                <w:b/>
                <w:color w:val="143B5D"/>
                <w:sz w:val="17"/>
              </w:rPr>
              <w:t>61–90 jours</w:t>
            </w:r>
          </w:p>
        </w:tc>
        <w:tc>
          <w:tcPr>
            <w:tcW w:w="2880" w:type="dxa"/>
            <w:tcMar>
              <w:top w:w="100" w:type="dxa"/>
              <w:left w:w="100" w:type="dxa"/>
              <w:bottom w:w="100" w:type="dxa"/>
              <w:right w:w="100" w:type="dxa"/>
            </w:tcMar>
            <w:vAlign w:val="center"/>
          </w:tcPr>
          <w:p w:rsidR="00EB4A06" w:rsidRDefault="004B31B9">
            <w:r>
              <w:rPr>
                <w:sz w:val="17"/>
              </w:rPr>
              <w:t>Évaluer les premières mesures</w:t>
            </w:r>
          </w:p>
        </w:tc>
        <w:tc>
          <w:tcPr>
            <w:tcW w:w="2520" w:type="dxa"/>
            <w:tcMar>
              <w:top w:w="100" w:type="dxa"/>
              <w:left w:w="100" w:type="dxa"/>
              <w:bottom w:w="100" w:type="dxa"/>
              <w:right w:w="100" w:type="dxa"/>
            </w:tcMar>
            <w:vAlign w:val="center"/>
          </w:tcPr>
          <w:p w:rsidR="00EB4A06" w:rsidRPr="00EE6AFA" w:rsidRDefault="004B31B9">
            <w:pPr>
              <w:rPr>
                <w:lang w:val="fr-FR"/>
              </w:rPr>
            </w:pPr>
            <w:r w:rsidRPr="00EE6AFA">
              <w:rPr>
                <w:sz w:val="17"/>
                <w:lang w:val="fr-FR"/>
              </w:rPr>
              <w:t>Revue de direction et arbitrages</w:t>
            </w:r>
          </w:p>
        </w:tc>
        <w:tc>
          <w:tcPr>
            <w:tcW w:w="2664" w:type="dxa"/>
            <w:tcMar>
              <w:top w:w="100" w:type="dxa"/>
              <w:left w:w="100" w:type="dxa"/>
              <w:bottom w:w="100" w:type="dxa"/>
              <w:right w:w="100" w:type="dxa"/>
            </w:tcMar>
            <w:vAlign w:val="center"/>
          </w:tcPr>
          <w:p w:rsidR="00EB4A06" w:rsidRPr="00EE6AFA" w:rsidRDefault="004B31B9">
            <w:pPr>
              <w:rPr>
                <w:lang w:val="fr-FR"/>
              </w:rPr>
            </w:pPr>
            <w:r w:rsidRPr="00EE6AFA">
              <w:rPr>
                <w:sz w:val="17"/>
                <w:lang w:val="fr-FR"/>
              </w:rPr>
              <w:t>Tendance des ruptures ; couverture des contrôles</w:t>
            </w:r>
          </w:p>
        </w:tc>
      </w:tr>
    </w:tbl>
    <w:p w:rsidR="00EB4A06" w:rsidRDefault="004B31B9">
      <w:pPr>
        <w:pStyle w:val="Heading1"/>
      </w:pPr>
      <w:r>
        <w:t>7. Gouvernance et indi</w:t>
      </w:r>
      <w:r>
        <w:t>cateurs de suivi</w:t>
      </w:r>
    </w:p>
    <w:p w:rsidR="00EB4A06" w:rsidRPr="00EE6AFA" w:rsidRDefault="004B31B9">
      <w:pPr>
        <w:pStyle w:val="ListBullet"/>
        <w:rPr>
          <w:lang w:val="fr-FR"/>
        </w:rPr>
      </w:pPr>
      <w:r w:rsidRPr="00EE6AFA">
        <w:rPr>
          <w:lang w:val="fr-FR"/>
        </w:rPr>
        <w:t>Ruptures : taux de consultations concernées, nombre de produits, durée médiane et délai de réapprovisionnement.</w:t>
      </w:r>
    </w:p>
    <w:p w:rsidR="00EB4A06" w:rsidRPr="00EE6AFA" w:rsidRDefault="004B31B9">
      <w:pPr>
        <w:pStyle w:val="ListBullet"/>
        <w:rPr>
          <w:lang w:val="fr-FR"/>
        </w:rPr>
      </w:pPr>
      <w:r w:rsidRPr="00EE6AFA">
        <w:rPr>
          <w:lang w:val="fr-FR"/>
        </w:rPr>
        <w:t>Accès : part de non-assurés, ventilation régionale et évolution mensuelle.</w:t>
      </w:r>
    </w:p>
    <w:p w:rsidR="00EB4A06" w:rsidRPr="00EE6AFA" w:rsidRDefault="004B31B9">
      <w:pPr>
        <w:pStyle w:val="ListBullet"/>
        <w:rPr>
          <w:lang w:val="fr-FR"/>
        </w:rPr>
      </w:pPr>
      <w:r w:rsidRPr="00EE6AFA">
        <w:rPr>
          <w:lang w:val="fr-FR"/>
        </w:rPr>
        <w:t xml:space="preserve">Activité : consultations, urgences, diagnostics </w:t>
      </w:r>
      <w:r w:rsidRPr="00EE6AFA">
        <w:rPr>
          <w:lang w:val="fr-FR"/>
        </w:rPr>
        <w:t>prioritaires et coûts médians.</w:t>
      </w:r>
    </w:p>
    <w:p w:rsidR="00EB4A06" w:rsidRPr="00EE6AFA" w:rsidRDefault="004B31B9">
      <w:pPr>
        <w:pStyle w:val="ListBullet"/>
        <w:rPr>
          <w:lang w:val="fr-FR"/>
        </w:rPr>
      </w:pPr>
      <w:r w:rsidRPr="00EE6AFA">
        <w:rPr>
          <w:lang w:val="fr-FR"/>
        </w:rPr>
        <w:t>Qualité : doublons, dates invalides, âges hors limites, coûts invalides et complétude des catégories.</w:t>
      </w:r>
    </w:p>
    <w:p w:rsidR="00EB4A06" w:rsidRPr="00EE6AFA" w:rsidRDefault="004B31B9">
      <w:pPr>
        <w:pStyle w:val="Heading1"/>
        <w:rPr>
          <w:lang w:val="fr-FR"/>
        </w:rPr>
      </w:pPr>
      <w:r w:rsidRPr="00EE6AFA">
        <w:rPr>
          <w:lang w:val="fr-FR"/>
        </w:rPr>
        <w:t>8. Méthode, qualité et limites</w:t>
      </w:r>
    </w:p>
    <w:p w:rsidR="00EB4A06" w:rsidRPr="00EE6AFA" w:rsidRDefault="004B31B9">
      <w:pPr>
        <w:rPr>
          <w:lang w:val="fr-FR"/>
        </w:rPr>
      </w:pPr>
      <w:r w:rsidRPr="00EE6AFA">
        <w:rPr>
          <w:lang w:val="fr-FR"/>
        </w:rPr>
        <w:t xml:space="preserve">Le traitement conserve les valeurs brutes pour l’âge, le coût et la date, puis applique des </w:t>
      </w:r>
      <w:r w:rsidRPr="00EE6AFA">
        <w:rPr>
          <w:lang w:val="fr-FR"/>
        </w:rPr>
        <w:t>règles explicites de standardisation, de dédoublonnage et de validation. Les dates impossibles, âges hors de 0 à 120 ans et coûts négatifs ou aberrants sont exclus des calculs concernés sans être imputés.</w:t>
      </w:r>
    </w:p>
    <w:tbl>
      <w:tblPr>
        <w:tblW w:w="0" w:type="auto"/>
        <w:jc w:val="center"/>
        <w:tblLook w:val="04A0" w:firstRow="1" w:lastRow="0" w:firstColumn="1" w:lastColumn="0" w:noHBand="0" w:noVBand="1"/>
      </w:tblPr>
      <w:tblGrid>
        <w:gridCol w:w="4608"/>
        <w:gridCol w:w="1152"/>
        <w:gridCol w:w="3600"/>
      </w:tblGrid>
      <w:tr w:rsidR="00EB4A06">
        <w:trPr>
          <w:jc w:val="center"/>
        </w:trPr>
        <w:tc>
          <w:tcPr>
            <w:tcW w:w="4608" w:type="dxa"/>
            <w:shd w:val="clear" w:color="auto" w:fill="007C91"/>
          </w:tcPr>
          <w:p w:rsidR="00EB4A06" w:rsidRDefault="004B31B9">
            <w:r>
              <w:rPr>
                <w:b/>
                <w:color w:val="FFFFFF"/>
                <w:sz w:val="17"/>
              </w:rPr>
              <w:t>Contrôle</w:t>
            </w:r>
          </w:p>
        </w:tc>
        <w:tc>
          <w:tcPr>
            <w:tcW w:w="1152" w:type="dxa"/>
            <w:shd w:val="clear" w:color="auto" w:fill="007C91"/>
          </w:tcPr>
          <w:p w:rsidR="00EB4A06" w:rsidRDefault="004B31B9">
            <w:r>
              <w:rPr>
                <w:b/>
                <w:color w:val="FFFFFF"/>
                <w:sz w:val="17"/>
              </w:rPr>
              <w:t>Volume</w:t>
            </w:r>
          </w:p>
        </w:tc>
        <w:tc>
          <w:tcPr>
            <w:tcW w:w="3600" w:type="dxa"/>
            <w:shd w:val="clear" w:color="auto" w:fill="007C91"/>
          </w:tcPr>
          <w:p w:rsidR="00EB4A06" w:rsidRDefault="004B31B9">
            <w:r>
              <w:rPr>
                <w:b/>
                <w:color w:val="FFFFFF"/>
                <w:sz w:val="17"/>
              </w:rPr>
              <w:t>Traitement</w:t>
            </w:r>
          </w:p>
        </w:tc>
      </w:tr>
      <w:tr w:rsidR="00EB4A06">
        <w:trPr>
          <w:jc w:val="center"/>
        </w:trPr>
        <w:tc>
          <w:tcPr>
            <w:tcW w:w="4608" w:type="dxa"/>
            <w:tcMar>
              <w:top w:w="70" w:type="dxa"/>
              <w:left w:w="90" w:type="dxa"/>
              <w:bottom w:w="70" w:type="dxa"/>
              <w:right w:w="90" w:type="dxa"/>
            </w:tcMar>
          </w:tcPr>
          <w:p w:rsidR="00EB4A06" w:rsidRDefault="004B31B9">
            <w:r>
              <w:rPr>
                <w:sz w:val="16"/>
              </w:rPr>
              <w:t>Lignes brutes</w:t>
            </w:r>
          </w:p>
        </w:tc>
        <w:tc>
          <w:tcPr>
            <w:tcW w:w="1152" w:type="dxa"/>
            <w:tcMar>
              <w:top w:w="70" w:type="dxa"/>
              <w:left w:w="90" w:type="dxa"/>
              <w:bottom w:w="70" w:type="dxa"/>
              <w:right w:w="90" w:type="dxa"/>
            </w:tcMar>
          </w:tcPr>
          <w:p w:rsidR="00EB4A06" w:rsidRDefault="004B31B9">
            <w:r>
              <w:rPr>
                <w:sz w:val="16"/>
              </w:rPr>
              <w:t>10300</w:t>
            </w:r>
          </w:p>
        </w:tc>
        <w:tc>
          <w:tcPr>
            <w:tcW w:w="3600" w:type="dxa"/>
            <w:tcMar>
              <w:top w:w="70" w:type="dxa"/>
              <w:left w:w="90" w:type="dxa"/>
              <w:bottom w:w="70" w:type="dxa"/>
              <w:right w:w="90" w:type="dxa"/>
            </w:tcMar>
          </w:tcPr>
          <w:p w:rsidR="00EB4A06" w:rsidRDefault="004B31B9">
            <w:r>
              <w:rPr>
                <w:sz w:val="16"/>
              </w:rPr>
              <w:t>Réf</w:t>
            </w:r>
            <w:r>
              <w:rPr>
                <w:sz w:val="16"/>
              </w:rPr>
              <w:t>érence</w:t>
            </w:r>
          </w:p>
        </w:tc>
      </w:tr>
      <w:tr w:rsidR="00EB4A06">
        <w:trPr>
          <w:jc w:val="center"/>
        </w:trPr>
        <w:tc>
          <w:tcPr>
            <w:tcW w:w="4608" w:type="dxa"/>
            <w:tcMar>
              <w:top w:w="70" w:type="dxa"/>
              <w:left w:w="90" w:type="dxa"/>
              <w:bottom w:w="70" w:type="dxa"/>
              <w:right w:w="90" w:type="dxa"/>
            </w:tcMar>
          </w:tcPr>
          <w:p w:rsidR="00EB4A06" w:rsidRDefault="004B31B9">
            <w:r>
              <w:rPr>
                <w:sz w:val="16"/>
              </w:rPr>
              <w:t>Doublons supprimés après standardisation</w:t>
            </w:r>
          </w:p>
        </w:tc>
        <w:tc>
          <w:tcPr>
            <w:tcW w:w="1152" w:type="dxa"/>
            <w:tcMar>
              <w:top w:w="70" w:type="dxa"/>
              <w:left w:w="90" w:type="dxa"/>
              <w:bottom w:w="70" w:type="dxa"/>
              <w:right w:w="90" w:type="dxa"/>
            </w:tcMar>
          </w:tcPr>
          <w:p w:rsidR="00EB4A06" w:rsidRDefault="004B31B9">
            <w:r>
              <w:rPr>
                <w:sz w:val="16"/>
              </w:rPr>
              <w:t>285</w:t>
            </w:r>
          </w:p>
        </w:tc>
        <w:tc>
          <w:tcPr>
            <w:tcW w:w="3600" w:type="dxa"/>
            <w:tcMar>
              <w:top w:w="70" w:type="dxa"/>
              <w:left w:w="90" w:type="dxa"/>
              <w:bottom w:w="70" w:type="dxa"/>
              <w:right w:w="90" w:type="dxa"/>
            </w:tcMar>
          </w:tcPr>
          <w:p w:rsidR="00EB4A06" w:rsidRDefault="004B31B9">
            <w:r>
              <w:rPr>
                <w:sz w:val="16"/>
              </w:rPr>
              <w:t>Suppression</w:t>
            </w:r>
          </w:p>
        </w:tc>
      </w:tr>
      <w:tr w:rsidR="00EB4A06">
        <w:trPr>
          <w:jc w:val="center"/>
        </w:trPr>
        <w:tc>
          <w:tcPr>
            <w:tcW w:w="4608" w:type="dxa"/>
            <w:tcMar>
              <w:top w:w="70" w:type="dxa"/>
              <w:left w:w="90" w:type="dxa"/>
              <w:bottom w:w="70" w:type="dxa"/>
              <w:right w:w="90" w:type="dxa"/>
            </w:tcMar>
          </w:tcPr>
          <w:p w:rsidR="00EB4A06" w:rsidRDefault="004B31B9">
            <w:r>
              <w:rPr>
                <w:sz w:val="16"/>
              </w:rPr>
              <w:t>Dates invalides</w:t>
            </w:r>
          </w:p>
        </w:tc>
        <w:tc>
          <w:tcPr>
            <w:tcW w:w="1152" w:type="dxa"/>
            <w:tcMar>
              <w:top w:w="70" w:type="dxa"/>
              <w:left w:w="90" w:type="dxa"/>
              <w:bottom w:w="70" w:type="dxa"/>
              <w:right w:w="90" w:type="dxa"/>
            </w:tcMar>
          </w:tcPr>
          <w:p w:rsidR="00EB4A06" w:rsidRDefault="004B31B9">
            <w:r>
              <w:rPr>
                <w:sz w:val="16"/>
              </w:rPr>
              <w:t>200</w:t>
            </w:r>
          </w:p>
        </w:tc>
        <w:tc>
          <w:tcPr>
            <w:tcW w:w="3600" w:type="dxa"/>
            <w:tcMar>
              <w:top w:w="70" w:type="dxa"/>
              <w:left w:w="90" w:type="dxa"/>
              <w:bottom w:w="70" w:type="dxa"/>
              <w:right w:w="90" w:type="dxa"/>
            </w:tcMar>
          </w:tcPr>
          <w:p w:rsidR="00EB4A06" w:rsidRDefault="004B31B9">
            <w:r>
              <w:rPr>
                <w:sz w:val="16"/>
              </w:rPr>
              <w:t>Conversion en NA</w:t>
            </w:r>
          </w:p>
        </w:tc>
      </w:tr>
      <w:tr w:rsidR="00EB4A06">
        <w:trPr>
          <w:jc w:val="center"/>
        </w:trPr>
        <w:tc>
          <w:tcPr>
            <w:tcW w:w="4608" w:type="dxa"/>
            <w:tcMar>
              <w:top w:w="70" w:type="dxa"/>
              <w:left w:w="90" w:type="dxa"/>
              <w:bottom w:w="70" w:type="dxa"/>
              <w:right w:w="90" w:type="dxa"/>
            </w:tcMar>
          </w:tcPr>
          <w:p w:rsidR="00EB4A06" w:rsidRDefault="004B31B9">
            <w:r>
              <w:rPr>
                <w:sz w:val="16"/>
              </w:rPr>
              <w:t>Âges hors limites</w:t>
            </w:r>
          </w:p>
        </w:tc>
        <w:tc>
          <w:tcPr>
            <w:tcW w:w="1152" w:type="dxa"/>
            <w:tcMar>
              <w:top w:w="70" w:type="dxa"/>
              <w:left w:w="90" w:type="dxa"/>
              <w:bottom w:w="70" w:type="dxa"/>
              <w:right w:w="90" w:type="dxa"/>
            </w:tcMar>
          </w:tcPr>
          <w:p w:rsidR="00EB4A06" w:rsidRDefault="004B31B9">
            <w:r>
              <w:rPr>
                <w:sz w:val="16"/>
              </w:rPr>
              <w:t>50</w:t>
            </w:r>
          </w:p>
        </w:tc>
        <w:tc>
          <w:tcPr>
            <w:tcW w:w="3600" w:type="dxa"/>
            <w:tcMar>
              <w:top w:w="70" w:type="dxa"/>
              <w:left w:w="90" w:type="dxa"/>
              <w:bottom w:w="70" w:type="dxa"/>
              <w:right w:w="90" w:type="dxa"/>
            </w:tcMar>
          </w:tcPr>
          <w:p w:rsidR="00EB4A06" w:rsidRDefault="004B31B9">
            <w:r>
              <w:rPr>
                <w:sz w:val="16"/>
              </w:rPr>
              <w:t>Conversion en NA</w:t>
            </w:r>
          </w:p>
        </w:tc>
      </w:tr>
      <w:tr w:rsidR="00EB4A06" w:rsidRPr="00EE6AFA">
        <w:trPr>
          <w:jc w:val="center"/>
        </w:trPr>
        <w:tc>
          <w:tcPr>
            <w:tcW w:w="4608" w:type="dxa"/>
            <w:tcMar>
              <w:top w:w="70" w:type="dxa"/>
              <w:left w:w="90" w:type="dxa"/>
              <w:bottom w:w="70" w:type="dxa"/>
              <w:right w:w="90" w:type="dxa"/>
            </w:tcMar>
          </w:tcPr>
          <w:p w:rsidR="00EB4A06" w:rsidRPr="00EE6AFA" w:rsidRDefault="004B31B9">
            <w:pPr>
              <w:rPr>
                <w:lang w:val="fr-FR"/>
              </w:rPr>
            </w:pPr>
            <w:r w:rsidRPr="00EE6AFA">
              <w:rPr>
                <w:sz w:val="16"/>
                <w:lang w:val="fr-FR"/>
              </w:rPr>
              <w:t>Coûts manquants, négatifs ou aberrants</w:t>
            </w:r>
          </w:p>
        </w:tc>
        <w:tc>
          <w:tcPr>
            <w:tcW w:w="1152" w:type="dxa"/>
            <w:tcMar>
              <w:top w:w="70" w:type="dxa"/>
              <w:left w:w="90" w:type="dxa"/>
              <w:bottom w:w="70" w:type="dxa"/>
              <w:right w:w="90" w:type="dxa"/>
            </w:tcMar>
          </w:tcPr>
          <w:p w:rsidR="00EB4A06" w:rsidRDefault="004B31B9">
            <w:r>
              <w:rPr>
                <w:sz w:val="16"/>
              </w:rPr>
              <w:t>556</w:t>
            </w:r>
          </w:p>
        </w:tc>
        <w:tc>
          <w:tcPr>
            <w:tcW w:w="3600" w:type="dxa"/>
            <w:tcMar>
              <w:top w:w="70" w:type="dxa"/>
              <w:left w:w="90" w:type="dxa"/>
              <w:bottom w:w="70" w:type="dxa"/>
              <w:right w:w="90" w:type="dxa"/>
            </w:tcMar>
          </w:tcPr>
          <w:p w:rsidR="00EB4A06" w:rsidRPr="00EE6AFA" w:rsidRDefault="004B31B9">
            <w:pPr>
              <w:rPr>
                <w:lang w:val="fr-FR"/>
              </w:rPr>
            </w:pPr>
            <w:r w:rsidRPr="00EE6AFA">
              <w:rPr>
                <w:sz w:val="16"/>
                <w:lang w:val="fr-FR"/>
              </w:rPr>
              <w:t>Conversion en NA au-delà de 42.8</w:t>
            </w:r>
          </w:p>
        </w:tc>
      </w:tr>
    </w:tbl>
    <w:p w:rsidR="00EB4A06" w:rsidRPr="00EE6AFA" w:rsidRDefault="004B31B9">
      <w:pPr>
        <w:rPr>
          <w:lang w:val="fr-FR"/>
        </w:rPr>
      </w:pPr>
      <w:r w:rsidRPr="00EE6AFA">
        <w:rPr>
          <w:b/>
          <w:color w:val="E16B4B"/>
          <w:sz w:val="19"/>
          <w:lang w:val="fr-FR"/>
        </w:rPr>
        <w:t xml:space="preserve">Limite essentielle. </w:t>
      </w:r>
      <w:r w:rsidRPr="00EE6AFA">
        <w:rPr>
          <w:sz w:val="19"/>
          <w:lang w:val="fr-FR"/>
        </w:rPr>
        <w:t>Les données sont</w:t>
      </w:r>
      <w:r w:rsidRPr="00EE6AFA">
        <w:rPr>
          <w:sz w:val="19"/>
          <w:lang w:val="fr-FR"/>
        </w:rPr>
        <w:t xml:space="preserve"> simulées. Les constats servent à démontrer une démarche de pilotage et doivent être validés sur des données opérationnelles avant toute décision de politique de santé.</w:t>
      </w:r>
    </w:p>
    <w:p w:rsidR="00EB4A06" w:rsidRDefault="004B31B9">
      <w:pPr>
        <w:pStyle w:val="Heading1"/>
      </w:pPr>
      <w:r>
        <w:t>Décisions attendues de la direction</w:t>
      </w:r>
    </w:p>
    <w:p w:rsidR="00EB4A06" w:rsidRPr="00EE6AFA" w:rsidRDefault="004B31B9">
      <w:pPr>
        <w:pStyle w:val="ListNumber"/>
        <w:rPr>
          <w:lang w:val="fr-FR"/>
        </w:rPr>
      </w:pPr>
      <w:r w:rsidRPr="00EE6AFA">
        <w:rPr>
          <w:lang w:val="fr-FR"/>
        </w:rPr>
        <w:t xml:space="preserve">Valider les trois axes prioritaires et les pilotes </w:t>
      </w:r>
      <w:r w:rsidRPr="00EE6AFA">
        <w:rPr>
          <w:lang w:val="fr-FR"/>
        </w:rPr>
        <w:t>proposés.</w:t>
      </w:r>
    </w:p>
    <w:p w:rsidR="00EB4A06" w:rsidRPr="00EE6AFA" w:rsidRDefault="004B31B9">
      <w:pPr>
        <w:pStyle w:val="ListNumber"/>
        <w:rPr>
          <w:lang w:val="fr-FR"/>
        </w:rPr>
      </w:pPr>
      <w:r w:rsidRPr="00EE6AFA">
        <w:rPr>
          <w:lang w:val="fr-FR"/>
        </w:rPr>
        <w:t>Autoriser une revue mensuelle des ruptures, de l’accès financier et de la qualité des données.</w:t>
      </w:r>
    </w:p>
    <w:p w:rsidR="00EB4A06" w:rsidRPr="00EE6AFA" w:rsidRDefault="004B31B9">
      <w:pPr>
        <w:pStyle w:val="ListNumber"/>
        <w:rPr>
          <w:lang w:val="fr-FR"/>
        </w:rPr>
      </w:pPr>
      <w:r w:rsidRPr="00EE6AFA">
        <w:rPr>
          <w:lang w:val="fr-FR"/>
        </w:rPr>
        <w:t>Demander un premier bilan d’exécution à 90 jours.</w:t>
      </w:r>
    </w:p>
    <w:sectPr w:rsidR="00EB4A06" w:rsidRPr="00EE6AFA" w:rsidSect="00034616">
      <w:headerReference w:type="default" r:id="rId11"/>
      <w:footerReference w:type="default" r:id="rId12"/>
      <w:pgSz w:w="12240" w:h="15840"/>
      <w:pgMar w:top="1123" w:right="1181" w:bottom="1037" w:left="1181"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B31B9" w:rsidRDefault="004B31B9">
      <w:pPr>
        <w:spacing w:after="0" w:line="240" w:lineRule="auto"/>
      </w:pPr>
      <w:r>
        <w:separator/>
      </w:r>
    </w:p>
  </w:endnote>
  <w:endnote w:type="continuationSeparator" w:id="0">
    <w:p w:rsidR="004B31B9" w:rsidRDefault="004B31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4A06" w:rsidRPr="00EE6AFA" w:rsidRDefault="004B31B9">
    <w:pPr>
      <w:pStyle w:val="Footer"/>
      <w:jc w:val="right"/>
      <w:rPr>
        <w:lang w:val="fr-FR"/>
      </w:rPr>
    </w:pPr>
    <w:r w:rsidRPr="00EE6AFA">
      <w:rPr>
        <w:color w:val="64748B"/>
        <w:sz w:val="16"/>
        <w:lang w:val="fr-FR"/>
      </w:rPr>
      <w:t xml:space="preserve">Analyse des consultations 2025  •  Document de travail  |  </w:t>
    </w:r>
    <w:r w:rsidRPr="00EE6AFA">
      <w:rPr>
        <w:lang w:val="fr-FR"/>
      </w:rPr>
      <w:t xml:space="preserve">Page </w:t>
    </w:r>
    <w:r>
      <w:fldChar w:fldCharType="begin"/>
    </w:r>
    <w:r w:rsidRPr="00EE6AFA">
      <w:rPr>
        <w:lang w:val="fr-FR"/>
      </w:rPr>
      <w:instrText>PAGE</w:instrText>
    </w:r>
    <w:r>
      <w:fldChar w:fldCharType="separate"/>
    </w:r>
    <w:r w:rsidR="00EE6AFA">
      <w:rPr>
        <w:noProof/>
        <w:lang w:val="fr-FR"/>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B31B9" w:rsidRDefault="004B31B9">
      <w:pPr>
        <w:spacing w:after="0" w:line="240" w:lineRule="auto"/>
      </w:pPr>
      <w:r>
        <w:separator/>
      </w:r>
    </w:p>
  </w:footnote>
  <w:footnote w:type="continuationSeparator" w:id="0">
    <w:p w:rsidR="004B31B9" w:rsidRDefault="004B31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4A06" w:rsidRPr="00EE6AFA" w:rsidRDefault="00EE6AFA">
    <w:pPr>
      <w:pStyle w:val="Header"/>
      <w:rPr>
        <w:lang w:val="fr-FR"/>
      </w:rPr>
    </w:pPr>
    <w:r>
      <w:rPr>
        <w:b/>
        <w:color w:val="64748B"/>
        <w:sz w:val="17"/>
        <w:lang w:val="fr-FR"/>
      </w:rPr>
      <w:t xml:space="preserve">DATA </w:t>
    </w:r>
    <w:r w:rsidR="004B31B9" w:rsidRPr="00EE6AFA">
      <w:rPr>
        <w:b/>
        <w:color w:val="64748B"/>
        <w:sz w:val="17"/>
        <w:lang w:val="fr-FR"/>
      </w:rPr>
      <w:t xml:space="preserve">SANTÉ </w:t>
    </w:r>
    <w:r w:rsidR="004B31B9" w:rsidRPr="00EE6AFA">
      <w:rPr>
        <w:b/>
        <w:color w:val="64748B"/>
        <w:sz w:val="17"/>
        <w:lang w:val="fr-FR"/>
      </w:rPr>
      <w:t xml:space="preserve">|  NOTE À LA </w:t>
    </w:r>
    <w:r w:rsidR="004B31B9" w:rsidRPr="00EE6AFA">
      <w:rPr>
        <w:b/>
        <w:color w:val="64748B"/>
        <w:sz w:val="17"/>
        <w:lang w:val="fr-FR"/>
      </w:rPr>
      <w:t>DIRECTION</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B31B9"/>
    <w:rsid w:val="00AA1D8D"/>
    <w:rsid w:val="00B47730"/>
    <w:rsid w:val="00CB0664"/>
    <w:rsid w:val="00EB4A06"/>
    <w:rsid w:val="00EE6A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B6223C"/>
  <w14:defaultImageDpi w14:val="300"/>
  <w15:docId w15:val="{721018D5-1AEE-4CEC-9FF9-BEC4FF7E9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78" w:lineRule="auto"/>
    </w:pPr>
    <w:rPr>
      <w:rFonts w:ascii="Arial" w:hAnsi="Arial"/>
      <w:color w:val="18212B"/>
      <w:sz w:val="21"/>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43B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07C91"/>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143B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AFD78C-7C0C-4551-8C71-DCA5BFA8E7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898</Words>
  <Characters>5124</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Analyse des consultations de santé au Cameroun — Note à la direction</dc:title>
  <dc:subject>Résultats 2025, priorités de gestion et feuille de route</dc:subject>
  <dc:creator>Équipe Analyse Santé</dc:creator>
  <cp:keywords/>
  <dc:description>generated by python-docx</dc:description>
  <cp:lastModifiedBy>Gorkus</cp:lastModifiedBy>
  <cp:revision>3</cp:revision>
  <dcterms:created xsi:type="dcterms:W3CDTF">2013-12-23T23:15:00Z</dcterms:created>
  <dcterms:modified xsi:type="dcterms:W3CDTF">2026-07-29T07:13:00Z</dcterms:modified>
  <cp:category/>
</cp:coreProperties>
</file>