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TITHI AFRIN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color w:val="9B2335"/>
          <w:sz w:val="21"/>
          <w:szCs w:val="21"/>
        </w:rPr>
        <w:t xml:space="preserve">Programme &amp; Project Coordinator  |  Labour Rights  ·  Social Protection  ·  Gender Equity</w:t>
      </w:r>
    </w:p>
    <w:p>
      <w:pPr>
        <w:tabs>
          <w:tab w:val="left" w:pos="3200"/>
          <w:tab w:val="left" w:pos="6400"/>
        </w:tabs>
        <w:spacing w:after="0" w:before="0"/>
      </w:pPr>
      <w:r>
        <w:rPr>
          <w:rFonts w:ascii="Arial" w:cs="Arial" w:eastAsia="Arial" w:hAnsi="Arial"/>
          <w:color w:val="4A4A6A"/>
          <w:sz w:val="17"/>
          <w:szCs w:val="17"/>
        </w:rPr>
        <w:t xml:space="preserve">tithiafrin8@gmail.com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4A4A6A"/>
          <w:sz w:val="17"/>
          <w:szCs w:val="17"/>
        </w:rPr>
        <w:t xml:space="preserve">+358 (relocating to Finland)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4A4A6A"/>
          <w:sz w:val="17"/>
          <w:szCs w:val="17"/>
        </w:rPr>
        <w:t xml:space="preserve">linkedin.com/in/tithi-afrin-9544b3102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✓  Finnish Resident Permit — Full-time work authorisation</w:t>
      </w:r>
    </w:p>
    <w:p>
      <w:pPr>
        <w:pBdr>
          <w:bottom w:val="single" w:color="9B2335" w:sz="8"/>
        </w:pBdr>
        <w:spacing w:after="120" w:before="80"/>
      </w:pPr>
    </w:p>
    <w:p>
      <w:pPr>
        <w:spacing w:after="100" w:before="0"/>
      </w:pPr>
      <w:r>
        <w:rPr>
          <w:rFonts w:ascii="Arial" w:cs="Arial" w:eastAsia="Arial" w:hAnsi="Arial"/>
          <w:color w:val="4A4A6A"/>
          <w:sz w:val="19"/>
          <w:szCs w:val="19"/>
        </w:rPr>
        <w:t xml:space="preserve">Dedicated programme coordinator with 8+ years driving labour rights advocacy, trade union engagement, and social protection initiatives in Bangladesh's garment sector. Experienced in managing EU- and UN-funded projects (GIZ, ILO, Plan International), facilitating stakeholder dialogue across government, NGO, and worker bodies, and producing structured monitoring and reporting. Relocating to Finland with full work authorisation — seeking to contribute to development cooperation, CSR, or social sector programme roles in a Finnish context.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PROFESSIONAL EXPERIENCE</w:t>
      </w:r>
    </w:p>
    <w:p>
      <w:pPr>
        <w:pBdr>
          <w:bottom w:val="single" w:color="9B2335" w:sz="6"/>
        </w:pBdr>
        <w:spacing w:after="10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Program Coordinator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B2335"/>
                <w:sz w:val="18"/>
                <w:szCs w:val="18"/>
              </w:rPr>
              <w:t xml:space="preserve">National Garment Workers Federation — Dhaka, Bangladesh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Feb 2023 – Mar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Led coordination of the Employment Injury Scheme (EIS) Pilot advocacy project (FEMNET/GIZ), advancing social protection coverage for Bangladesh's 4 million garment workers.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Managed the Social Protection for All project (WSM), aligning delivery with ILO decent work frameworks and reporting cycles.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Organised and facilitated workshops, Training-of-Trainers sessions, and awareness programmes on labour law and workers' rights.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Represented Bangladesh as guest speaker at international forums; participated in seminars in Germany (Ver.di) and Nepal; advocated for platform workers' rights in cross-border dialogues.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Coordinated with European and Asian NGO networks (FEMNET, GIZ, IGS) to raise garment sector labour issues on international policy platforms.</w:t>
      </w:r>
    </w:p>
    <w:p>
      <w:pPr>
        <w:spacing w:after="6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Programme Officer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B2335"/>
                <w:sz w:val="18"/>
                <w:szCs w:val="18"/>
              </w:rPr>
              <w:t xml:space="preserve">Surovi — Dhaka, Bangladesh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Aug 2020 – Aug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Managed field operations for the Child Bride to Book Work youth education project, achieving a 20% increase in youth participation through targeted enrolment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Led formation of youth groups addressing gender-based violence; facilitated GEMS (Gender Equity Movement in Schools) and inclusive pedagogy sessions.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Coordinated income-generating activities for parents of vulnerable students to reduce financial barriers to education.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Liaised with government regulators (DSHE) to ensure project compliance; organised training for teachers and school management on modern, inclusive practices.</w:t>
      </w:r>
    </w:p>
    <w:p>
      <w:pPr>
        <w:spacing w:after="6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Management Associate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B2335"/>
                <w:sz w:val="18"/>
                <w:szCs w:val="18"/>
              </w:rPr>
              <w:t xml:space="preserve">Hatil Complex Ltd. — Dhaka, Bangladesh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Feb 2015 – Jul 2016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Supported HR and administrative operations: payroll, attendance reporting, recruitment compliance.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Contributed to ERP system implementation, improving HR process efficiency.</w:t>
      </w:r>
    </w:p>
    <w:p>
      <w:pPr>
        <w:spacing w:after="60" w:before="0"/>
      </w:pPr>
    </w:p>
    <w:p>
      <w:pPr>
        <w:spacing w:after="30" w:before="0"/>
      </w:pPr>
      <w:r>
        <w:rPr>
          <w:rFonts w:ascii="Arial" w:cs="Arial" w:eastAsia="Arial" w:hAnsi="Arial"/>
          <w:b/>
          <w:bCs/>
          <w:color w:val="4A4A6A"/>
          <w:sz w:val="18"/>
          <w:szCs w:val="18"/>
        </w:rPr>
        <w:t xml:space="preserve">Earlier Experience (condensed)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48"/>
        <w:gridCol w:w="3234"/>
        <w:gridCol w:w="2324"/>
      </w:tblGrid>
      <w:tr>
        <w:tc>
          <w:tcPr>
            <w:tcW w:type="dxa" w:w="4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Sales &amp; Marketing Executive</w:t>
            </w:r>
          </w:p>
        </w:tc>
        <w:tc>
          <w:tcPr>
            <w:tcW w:type="dxa" w:w="3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Time Communication</w:t>
            </w:r>
          </w:p>
        </w:tc>
        <w:tc>
          <w:tcPr>
            <w:tcW w:type="dxa" w:w="23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Nov 2014 – Feb 2015</w:t>
            </w:r>
          </w:p>
        </w:tc>
      </w:tr>
      <w:tr>
        <w:tc>
          <w:tcPr>
            <w:tcW w:type="dxa" w:w="4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Freelance Event Promoter</w:t>
            </w:r>
          </w:p>
        </w:tc>
        <w:tc>
          <w:tcPr>
            <w:tcW w:type="dxa" w:w="3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Asiatic, Dhaka</w:t>
            </w:r>
          </w:p>
        </w:tc>
        <w:tc>
          <w:tcPr>
            <w:tcW w:type="dxa" w:w="23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Jul 2013 – Oct 2014</w:t>
            </w:r>
          </w:p>
        </w:tc>
      </w:tr>
      <w:tr>
        <w:tc>
          <w:tcPr>
            <w:tcW w:type="dxa" w:w="4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Accountant &amp; Cashier</w:t>
            </w:r>
          </w:p>
        </w:tc>
        <w:tc>
          <w:tcPr>
            <w:tcW w:type="dxa" w:w="3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Somoyar Alo Akota Multi Co-op</w:t>
            </w:r>
          </w:p>
        </w:tc>
        <w:tc>
          <w:tcPr>
            <w:tcW w:type="dxa" w:w="23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Oct 2012 – Mar 2013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EDUCATION</w:t>
      </w:r>
    </w:p>
    <w:p>
      <w:pPr>
        <w:pBdr>
          <w:bottom w:val="single" w:color="9B2335" w:sz="6"/>
        </w:pBdr>
        <w:spacing w:after="10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Master of Business Studies (Management)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National University, Dhaka  ·  2012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Bachelor of Business Studies (Management)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National University, Faridpur  ·  2011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Languages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Bangla — Native  |  English — Professional working proficiency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(Finnish language learning planned upon relocation)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CORE COMPETENCIES</w:t>
      </w:r>
    </w:p>
    <w:p>
      <w:pPr>
        <w:pBdr>
          <w:bottom w:val="single" w:color="9B2335" w:sz="6"/>
        </w:pBdr>
        <w:spacing w:after="10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9"/>
        <w:gridCol w:w="3369"/>
        <w:gridCol w:w="3369"/>
      </w:tblGrid>
      <w:tr>
        <w:tc>
          <w:tcPr>
            <w:tcW w:type="dxa" w:w="3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Programme &amp; 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Budget &amp; Financial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Resource Mobilisation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Monitoring &amp; Evaluation</w:t>
            </w:r>
          </w:p>
        </w:tc>
        <w:tc>
          <w:tcPr>
            <w:tcW w:type="dxa" w:w="3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Stakeholder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Trade Union &amp; Government Liaison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International Donor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Civil Society Coordination</w:t>
            </w:r>
          </w:p>
        </w:tc>
        <w:tc>
          <w:tcPr>
            <w:tcW w:type="dxa" w:w="3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Training Facilitation (ToT)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Gender Equality &amp; Inclusion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Labour Rights Advocacy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Data Analysis — Power BI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SELECTED PROFESSIONAL DEVELOPMENT</w:t>
      </w:r>
    </w:p>
    <w:p>
      <w:pPr>
        <w:pBdr>
          <w:bottom w:val="single" w:color="9B2335" w:sz="6"/>
        </w:pBdr>
        <w:spacing w:after="10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Spring School on Business &amp; Human Rights (BHR) and Responsible Business Conduct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ILO / GIZ / Univ. of Dhaka</w:t>
            </w:r>
          </w:p>
        </w:tc>
      </w:tr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Training of Trainers — Employment Injury Scheme (EIS) Pilot Advocacy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FEMNET / GIZ</w:t>
            </w:r>
          </w:p>
        </w:tc>
      </w:tr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Effective Stakeholder Engagement in Business and Human Rights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GIZ / IGS</w:t>
            </w:r>
          </w:p>
        </w:tc>
      </w:tr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Digitalization &amp; Automation of the Garment Industry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Ver.di, Germany</w:t>
            </w:r>
          </w:p>
        </w:tc>
      </w:tr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 — Psychosocial Counselling; SIYB &amp; Family Development Plan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Plan International Bangladesh</w:t>
            </w:r>
          </w:p>
        </w:tc>
      </w:tr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 Analysis using Microsoft Power BI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Self-initiated</w:t>
            </w:r>
          </w:p>
        </w:tc>
      </w:tr>
    </w:tbl>
    <w:p>
      <w:pPr>
        <w:spacing w:after="60" w:before="0"/>
      </w:pPr>
    </w:p>
    <w:p>
      <w:pPr>
        <w:pBdr>
          <w:top w:val="single" w:color="E8E6E0" w:sz="4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References available upon request  ·  Open to relocation anywhere in Finland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2026-06-16T19:43:41.876Z</dcterms:created>
  <dcterms:modified xsi:type="dcterms:W3CDTF">2026-06-16T19:43:41.893Z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