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40"/>
        <w:gridCol w:w="8066"/>
      </w:tblGrid>
      <w:tr>
        <w:tc>
          <w:tcPr>
            <w:tcW w:type="dxa" w:w="1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tbl>
            <w:tblPr>
              <w:tblW w:type="dxa" w:w="1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0"/>
            </w:tblGrid>
            <w:tr>
              <w:trPr>
                <w:trHeight w:val="2000" w:hRule="exact"/>
              </w:trPr>
              <w:tc>
                <w:tcPr>
                  <w:tcW w:type="dxa" w:w="1700"/>
                  <w:tcBorders>
                    <w:top w:val="single" w:color="BBBBBB" w:sz="4"/>
                    <w:left w:val="single" w:color="BBBBBB" w:sz="4"/>
                    <w:bottom w:val="single" w:color="BBBBBB" w:sz="4"/>
                    <w:right w:val="single" w:color="BBBBBB" w:sz="4"/>
                  </w:tcBorders>
                  <w:shd w:fill="F0EFEB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AAAAAA"/>
                      <w:sz w:val="18"/>
                      <w:szCs w:val="18"/>
                    </w:rPr>
                    <w:t xml:space="preserve">[ Photo ]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color w:val="BBBBBB"/>
                      <w:sz w:val="14"/>
                      <w:szCs w:val="14"/>
                    </w:rPr>
                    <w:t xml:space="preserve">Replace with professional
headshot (smiling,
plain background)</w:t>
                  </w:r>
                </w:p>
              </w:tc>
            </w:tr>
          </w:tbl>
          <w:p/>
        </w:tc>
        <w:tc>
          <w:tcPr>
            <w:tcW w:type="dxa" w:w="80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52"/>
                <w:szCs w:val="52"/>
              </w:rPr>
              <w:t xml:space="preserve">TITHI AFRIN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9B2335"/>
                <w:sz w:val="22"/>
                <w:szCs w:val="22"/>
              </w:rPr>
              <w:t xml:space="preserve">Programme &amp; Project Coordinator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8"/>
                <w:szCs w:val="18"/>
              </w:rPr>
              <w:t xml:space="preserve">Labour Rights  ·  Social Protection  ·  Gender Equity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tithiafrin8@gmail.com  ·  +880 1738 382 834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linkedin.com/in/tithi-afrin-9544b3102</w:t>
            </w:r>
          </w:p>
          <w:p>
            <w:pPr>
              <w:spacing w:after="0" w:before="12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✓  Finnish Resident Permit — Full work authorisation</w:t>
            </w:r>
          </w:p>
        </w:tc>
      </w:tr>
    </w:tbl>
    <w:p>
      <w:pPr>
        <w:pBdr>
          <w:bottom w:val="single" w:color="9B2335" w:sz="8"/>
        </w:pBdr>
        <w:spacing w:after="120" w:before="100"/>
      </w:pPr>
    </w:p>
    <w:p>
      <w:pPr>
        <w:spacing w:after="120" w:before="0"/>
      </w:pPr>
      <w:r>
        <w:rPr>
          <w:rFonts w:ascii="Arial" w:cs="Arial" w:eastAsia="Arial" w:hAnsi="Arial"/>
          <w:color w:val="4A4A6A"/>
          <w:sz w:val="19"/>
          <w:szCs w:val="19"/>
        </w:rPr>
        <w:t xml:space="preserve">Programme coordinator with 8+ years driving labour rights advocacy, trade union engagement, and social protection initiatives across Bangladesh's garment sector. Delivered EU- and UN-funded projects for GIZ, ILO, and Plan International — managing budgets, coordinating multi-stakeholder workshops, and producing structured donor reports. Represented Bangladesh at international forums in Germany and Nepal. Relocating to Finland with full work authorisation, eager to bring field-tested coordination skills to a Finnish NGO, CSR, or development cooperation environment.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PROFESSIONAL EXPERIENCE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 Coordinator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National Garment Workers Federation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Feb 2023 – Mar 2025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Coordinated the Employment Injury Scheme (EIS) Pilot advocacy project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(FEMNET/GIZ), reaching 4 million+ garment workers with social protection awareness by managing delivery across 3 partner organisations.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Delivered the Social Protection for All project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(WSM) on time and within scope by aligning activity planning with ILO decent work frameworks and quarterly donor reporting cycles.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Trained 120+ trade union representatives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and frontline workers annually by designing and facilitating Training-of-Trainers sessions on labour law, rights awareness, and psychosocial support.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Represented Bangladesh at international labour rights forums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in Germany (Ver.di) and Nepal, building cross-border advocacy partnerships with European and Asian NGO networks.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Strengthened platform workers' rights agenda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by co-authoring advocacy briefs submitted to GIZ and ILO policy roundtables.</w:t>
      </w:r>
    </w:p>
    <w:p>
      <w:pPr>
        <w:spacing w:after="6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Programme Officer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Surovi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Aug 2020 – Aug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Increased youth participation by 20%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in the Child Bride to Book Work project by redesigning enrolment strategies and identifying 200+ out-of-school and at-risk dropout children across partner schools.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Reduced gender-based violence incidents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in project communities by leading formation of 8 youth groups and facilitating GEMS (Gender Equity Movement in Schools) sessions for 400+ participants.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Improved household retention rates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for vulnerable students by coordinating income-generating activities for 150+ families, reducing financial barriers to education.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Ensured full project compliance</w:t>
      </w:r>
      <w:r>
        <w:rPr>
          <w:rFonts w:ascii="Arial" w:cs="Arial" w:eastAsia="Arial" w:hAnsi="Arial"/>
          <w:color w:val="4A4A6A"/>
          <w:sz w:val="18"/>
          <w:szCs w:val="18"/>
        </w:rPr>
        <w:t xml:space="preserve"> by liaising directly with DSHE government regulators and delivering inclusive pedagogy training for 60+ teachers and school management staff.</w:t>
      </w:r>
    </w:p>
    <w:p>
      <w:pPr>
        <w:spacing w:after="6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69"/>
        <w:gridCol w:w="3537"/>
      </w:tblGrid>
      <w:tr>
        <w:tc>
          <w:tcPr>
            <w:tcW w:type="dxa" w:w="65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Management Associate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9B2335"/>
                <w:sz w:val="18"/>
                <w:szCs w:val="18"/>
              </w:rPr>
              <w:t xml:space="preserve">Hatil Complex Ltd. — Dhaka, Bangladesh</w:t>
            </w:r>
          </w:p>
        </w:tc>
        <w:tc>
          <w:tcPr>
            <w:tcW w:type="dxa" w:w="353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Feb 2015 – Jul 2016</w:t>
            </w:r>
          </w:p>
        </w:tc>
      </w:tr>
    </w:tbl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Streamlined HR reporting workflows by contributing to an ERP system implementation, reducing manual payroll processing time across a 500+ employee organisation.</w:t>
      </w:r>
    </w:p>
    <w:p>
      <w:pPr>
        <w:pStyle w:val="ListParagraph"/>
        <w:numPr>
          <w:ilvl w:val="0"/>
          <w:numId w:val="2"/>
        </w:numPr>
        <w:spacing w:after="24" w:before="24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Maintained full compliance across attendance, recruitment, and payroll administration for monthly reporting cycles.</w:t>
      </w:r>
    </w:p>
    <w:p>
      <w:pPr>
        <w:spacing w:after="60" w:before="0"/>
      </w:pPr>
    </w:p>
    <w:p>
      <w:pPr>
        <w:spacing w:after="30" w:before="0"/>
      </w:pPr>
      <w:r>
        <w:rPr>
          <w:rFonts w:ascii="Arial" w:cs="Arial" w:eastAsia="Arial" w:hAnsi="Arial"/>
          <w:b/>
          <w:bCs/>
          <w:color w:val="4A4A6A"/>
          <w:sz w:val="18"/>
          <w:szCs w:val="18"/>
        </w:rPr>
        <w:t xml:space="preserve">Earlier experience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47"/>
        <w:gridCol w:w="3234"/>
        <w:gridCol w:w="2425"/>
      </w:tblGrid>
      <w:tr>
        <w:tc>
          <w:tcPr>
            <w:tcW w:type="dxa" w:w="4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Sales &amp; Marketing Executive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Time Communication, Dhaka</w:t>
            </w:r>
          </w:p>
        </w:tc>
        <w:tc>
          <w:tcPr>
            <w:tcW w:type="dxa" w:w="2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Nov 2014 – Feb 2015</w:t>
            </w:r>
          </w:p>
        </w:tc>
      </w:tr>
      <w:tr>
        <w:tc>
          <w:tcPr>
            <w:tcW w:type="dxa" w:w="4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Freelance Event &amp; Brand Promoter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Asiatic, Dhaka</w:t>
            </w:r>
          </w:p>
        </w:tc>
        <w:tc>
          <w:tcPr>
            <w:tcW w:type="dxa" w:w="2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Jul 2013 – Oct 2014</w:t>
            </w:r>
          </w:p>
        </w:tc>
      </w:tr>
      <w:tr>
        <w:tc>
          <w:tcPr>
            <w:tcW w:type="dxa" w:w="444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Accountant &amp; Cashier</w:t>
            </w:r>
          </w:p>
        </w:tc>
        <w:tc>
          <w:tcPr>
            <w:tcW w:type="dxa" w:w="32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Somoyar Alo Akota Multi Co-op</w:t>
            </w:r>
          </w:p>
        </w:tc>
        <w:tc>
          <w:tcPr>
            <w:tcW w:type="dxa" w:w="24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"/>
              <w:left w:type="dxa" w:w="0"/>
              <w:bottom w:type="dxa" w:w="24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888888"/>
                <w:sz w:val="17"/>
                <w:szCs w:val="17"/>
              </w:rPr>
              <w:t xml:space="preserve">Oct 2012 – Mar 2013</w:t>
            </w:r>
          </w:p>
        </w:tc>
      </w:tr>
    </w:tbl>
    <w:p>
      <w:r>
        <w:br w:type="pag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EDUCATION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558"/>
        <w:gridCol w:w="4548"/>
      </w:tblGrid>
      <w:tr>
        <w:tc>
          <w:tcPr>
            <w:tcW w:type="dxa" w:w="55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Master of Business Studies — Management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National University, Dhaka  ·  2012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Bachelor of Business Studies — Management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National University, Faridpur  ·  2011</w:t>
            </w:r>
          </w:p>
        </w:tc>
        <w:tc>
          <w:tcPr>
            <w:tcW w:type="dxa" w:w="4548"/>
            <w:tcBorders>
              <w:top w:val="none" w:color="FFFFFF" w:sz="0"/>
              <w:left w:val="single" w:color="E8E6E0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Languages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Bangla — Native</w:t>
            </w: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English — Professional working proficiency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Finnish — studies planned upon relocation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CORE COMPETENCIES &amp; SKILLS</w:t>
      </w:r>
    </w:p>
    <w:p>
      <w:pPr>
        <w:pBdr>
          <w:bottom w:val="single" w:color="9B2335" w:sz="6"/>
        </w:pBdr>
        <w:spacing w:after="100" w:before="0"/>
      </w:pP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Skills drawn from 8+ years of field delivery — each developed through the project, partnership, or training context shown in the experience section above.</w:t>
      </w: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369"/>
        <w:gridCol w:w="3369"/>
        <w:gridCol w:w="3369"/>
      </w:tblGrid>
      <w:tr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Programme &amp; Project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Budget &amp; Financial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Resource Mobilisation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Monitoring &amp; Evaluation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Stakeholder &amp; Donor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Trade Union &amp; Government Liaison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Workshop Facilitation &amp; ToT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Gender Equality &amp; Inclusion</w:t>
            </w:r>
          </w:p>
        </w:tc>
        <w:tc>
          <w:tcPr>
            <w:tcW w:type="dxa" w:w="33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Labour Rights Advocacy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Social Protection Frameworks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Data Analysis — Power BI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8" w:before="18"/>
            </w:pPr>
            <w:r>
              <w:rPr>
                <w:rFonts w:ascii="Arial" w:cs="Arial" w:eastAsia="Arial" w:hAnsi="Arial"/>
                <w:color w:val="4A4A6A"/>
                <w:sz w:val="17"/>
                <w:szCs w:val="17"/>
              </w:rPr>
              <w:t xml:space="preserve">Report Writing &amp; Documentation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9B2335"/>
          <w:spacing w:val="60"/>
          <w:sz w:val="17"/>
          <w:szCs w:val="17"/>
        </w:rPr>
        <w:t xml:space="preserve">SELECTED PROFESSIONAL DEVELOPMENT</w:t>
      </w:r>
    </w:p>
    <w:p>
      <w:pPr>
        <w:pBdr>
          <w:bottom w:val="single" w:color="9B2335" w:sz="6"/>
        </w:pBdr>
        <w:spacing w:after="100" w:before="0"/>
      </w:pPr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670"/>
        <w:gridCol w:w="3436"/>
      </w:tblGrid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 School on Business &amp; Human Rights (BHR) &amp; Responsible Business Conduct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ILO · GIZ · Univ. of Dhaka · 2025</w:t>
            </w:r>
          </w:p>
        </w:tc>
      </w:tr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Training of Trainers — Employment Injury Scheme (EIS) Pilot Advocacy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FEMNET · GIZ</w:t>
            </w:r>
          </w:p>
        </w:tc>
      </w:tr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Effective Stakeholder Engagement in Business &amp; Human Rights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GIZ · IGS</w:t>
            </w:r>
          </w:p>
        </w:tc>
      </w:tr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Digitalization &amp; Automation of the Garment Industry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Ver.di, Germany</w:t>
            </w:r>
          </w:p>
        </w:tc>
      </w:tr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 — Psychosocial Counselling; SIYB &amp; Family Development Plan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Plan International Bangladesh</w:t>
            </w:r>
          </w:p>
        </w:tc>
      </w:tr>
      <w:tr>
        <w:tc>
          <w:tcPr>
            <w:tcW w:type="dxa" w:w="66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Data Analysis using Microsoft Power BI</w:t>
            </w:r>
          </w:p>
        </w:tc>
        <w:tc>
          <w:tcPr>
            <w:tcW w:type="dxa" w:w="34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Self-initiated</w:t>
            </w:r>
          </w:p>
        </w:tc>
      </w:tr>
    </w:tbl>
    <w:p>
      <w:pPr>
        <w:spacing w:after="80" w:before="0"/>
      </w:pPr>
    </w:p>
    <w:p>
      <w:pPr>
        <w:pBdr>
          <w:top w:val="single" w:color="E8E6E0" w:sz="4"/>
        </w:pBdr>
        <w:spacing w:after="0" w:before="60"/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References available upon request  ·  Open to relocation anywhere in Finland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2026-06-16T20:57:33.210Z</dcterms:created>
  <dcterms:modified xsi:type="dcterms:W3CDTF">2026-06-16T20:57:33.231Z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