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18634393" w:rsidR="009303D9" w:rsidRPr="008B6524" w:rsidRDefault="00AC0EA6" w:rsidP="008B6524">
      <w:pPr>
        <w:pStyle w:val="papertitle"/>
        <w:spacing w:before="5pt" w:beforeAutospacing="1" w:after="5pt" w:afterAutospacing="1"/>
        <w:rPr>
          <w:kern w:val="48"/>
        </w:rPr>
      </w:pPr>
      <w:r>
        <w:rPr>
          <w:rFonts w:cs="Angsana New"/>
          <w:kern w:val="48"/>
          <w:szCs w:val="61"/>
          <w:lang w:bidi="th-TH"/>
        </w:rPr>
        <w:t>Formal</w:t>
      </w:r>
      <w:r w:rsidR="008963C0">
        <w:rPr>
          <w:rFonts w:cs="Angsana New"/>
          <w:kern w:val="48"/>
          <w:szCs w:val="61"/>
          <w:lang w:bidi="th-TH"/>
        </w:rPr>
        <w:t xml:space="preserve"> Verification of Aircraft Turnaround Process Using Petri Net for Deadlock Detection and Liveness Analysis</w:t>
      </w:r>
    </w:p>
    <w:p w14:paraId="24DF2CD4" w14:textId="77777777" w:rsidR="009303D9" w:rsidRPr="008963C0" w:rsidRDefault="00D7522C" w:rsidP="008B6524">
      <w:pPr>
        <w:pStyle w:val="Author"/>
        <w:spacing w:before="5pt" w:beforeAutospacing="1" w:after="5pt" w:afterAutospacing="1"/>
        <w:rPr>
          <w:color w:val="FF0000"/>
          <w:sz w:val="16"/>
          <w:szCs w:val="16"/>
        </w:rPr>
      </w:pPr>
      <w:r w:rsidRPr="008963C0">
        <w:rPr>
          <w:color w:val="FF0000"/>
          <w:sz w:val="16"/>
          <w:szCs w:val="16"/>
        </w:rPr>
        <w:t>*</w:t>
      </w:r>
      <w:r w:rsidR="00CA4392" w:rsidRPr="008963C0">
        <w:rPr>
          <w:color w:val="FF0000"/>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648E93B4" w:rsidR="001A3B3D" w:rsidRPr="00F847A6" w:rsidRDefault="008963C0" w:rsidP="007B6DDA">
      <w:pPr>
        <w:pStyle w:val="Author"/>
        <w:spacing w:before="5pt" w:beforeAutospacing="1"/>
        <w:rPr>
          <w:sz w:val="18"/>
          <w:szCs w:val="18"/>
        </w:rPr>
      </w:pPr>
      <w:r>
        <w:rPr>
          <w:sz w:val="18"/>
          <w:szCs w:val="18"/>
        </w:rPr>
        <w:t>Titi Changpoo</w:t>
      </w:r>
      <w:r w:rsidR="001A3B3D" w:rsidRPr="00F847A6">
        <w:rPr>
          <w:sz w:val="18"/>
          <w:szCs w:val="18"/>
        </w:rPr>
        <w:br/>
      </w:r>
      <w:r>
        <w:rPr>
          <w:sz w:val="18"/>
          <w:szCs w:val="18"/>
        </w:rPr>
        <w:t>Dept. of Computer Engineering</w:t>
      </w:r>
      <w:r w:rsidR="00D72D06" w:rsidRPr="00F847A6">
        <w:rPr>
          <w:sz w:val="18"/>
          <w:szCs w:val="18"/>
        </w:rPr>
        <w:br/>
      </w:r>
      <w:r>
        <w:rPr>
          <w:sz w:val="18"/>
          <w:szCs w:val="18"/>
        </w:rPr>
        <w:t>Chulalongkorn University</w:t>
      </w:r>
      <w:r w:rsidR="001A3B3D" w:rsidRPr="00F847A6">
        <w:rPr>
          <w:i/>
          <w:sz w:val="18"/>
          <w:szCs w:val="18"/>
        </w:rPr>
        <w:br/>
      </w:r>
      <w:r>
        <w:rPr>
          <w:sz w:val="18"/>
          <w:szCs w:val="18"/>
        </w:rPr>
        <w:t>Bangkok 10330, Thailand</w:t>
      </w:r>
      <w:r w:rsidR="001A3B3D" w:rsidRPr="00F847A6">
        <w:rPr>
          <w:sz w:val="18"/>
          <w:szCs w:val="18"/>
        </w:rPr>
        <w:br/>
      </w:r>
      <w:r>
        <w:rPr>
          <w:sz w:val="18"/>
          <w:szCs w:val="18"/>
        </w:rPr>
        <w:t>6770231021@student.chula.ac.th</w:t>
      </w:r>
      <w:r w:rsidR="00F74B21">
        <w:rPr>
          <w:sz w:val="18"/>
          <w:szCs w:val="18"/>
        </w:rPr>
        <w:t xml:space="preserve"> </w:t>
      </w:r>
      <w:r w:rsidR="00BD670B">
        <w:rPr>
          <w:sz w:val="18"/>
          <w:szCs w:val="18"/>
        </w:rPr>
        <w:br w:type="column"/>
      </w:r>
      <w:r>
        <w:rPr>
          <w:sz w:val="18"/>
          <w:szCs w:val="18"/>
        </w:rPr>
        <w:t>Nuengwong Tuaycharoen</w:t>
      </w:r>
      <w:r w:rsidR="001A3B3D" w:rsidRPr="00F847A6">
        <w:rPr>
          <w:sz w:val="18"/>
          <w:szCs w:val="18"/>
        </w:rPr>
        <w:br/>
      </w:r>
      <w:r>
        <w:rPr>
          <w:sz w:val="18"/>
          <w:szCs w:val="18"/>
        </w:rPr>
        <w:t>Dept. of Computer Engineering</w:t>
      </w:r>
      <w:r w:rsidR="001A3B3D" w:rsidRPr="00F847A6">
        <w:rPr>
          <w:sz w:val="18"/>
          <w:szCs w:val="18"/>
        </w:rPr>
        <w:br/>
      </w:r>
      <w:r>
        <w:rPr>
          <w:sz w:val="18"/>
          <w:szCs w:val="18"/>
        </w:rPr>
        <w:t>Chulalongkorn University</w:t>
      </w:r>
      <w:r w:rsidR="001A3B3D" w:rsidRPr="00F847A6">
        <w:rPr>
          <w:i/>
          <w:sz w:val="18"/>
          <w:szCs w:val="18"/>
        </w:rPr>
        <w:br/>
      </w:r>
      <w:r>
        <w:rPr>
          <w:sz w:val="18"/>
          <w:szCs w:val="18"/>
        </w:rPr>
        <w:t>Bangkok 10330, Thailand</w:t>
      </w:r>
      <w:r w:rsidRPr="00F847A6">
        <w:rPr>
          <w:sz w:val="18"/>
          <w:szCs w:val="18"/>
        </w:rPr>
        <w:br/>
      </w:r>
      <w:r>
        <w:rPr>
          <w:sz w:val="18"/>
          <w:szCs w:val="18"/>
        </w:rPr>
        <w:t>6770231021@student.chula.ac.th</w:t>
      </w:r>
    </w:p>
    <w:p w14:paraId="11C3FF66" w14:textId="1782BA08" w:rsidR="001A3B3D" w:rsidRPr="00F847A6" w:rsidRDefault="00F74B21" w:rsidP="00447BB9">
      <w:pPr>
        <w:pStyle w:val="Author"/>
        <w:spacing w:before="5pt" w:beforeAutospacing="1"/>
        <w:rPr>
          <w:sz w:val="18"/>
          <w:szCs w:val="18"/>
        </w:rPr>
      </w:pPr>
      <w:r>
        <w:rPr>
          <w:sz w:val="18"/>
          <w:szCs w:val="18"/>
        </w:rPr>
        <w:t xml:space="preserve"> </w:t>
      </w:r>
      <w:r w:rsidR="00BD670B">
        <w:rPr>
          <w:sz w:val="18"/>
          <w:szCs w:val="18"/>
        </w:rPr>
        <w:br w:type="column"/>
      </w:r>
      <w:r w:rsidR="008963C0">
        <w:rPr>
          <w:sz w:val="18"/>
          <w:szCs w:val="18"/>
        </w:rPr>
        <w:t>Wiwat Vatanawood</w:t>
      </w:r>
      <w:r w:rsidR="001A3B3D" w:rsidRPr="00F847A6">
        <w:rPr>
          <w:sz w:val="18"/>
          <w:szCs w:val="18"/>
        </w:rPr>
        <w:br/>
      </w:r>
      <w:r w:rsidR="008963C0">
        <w:rPr>
          <w:sz w:val="18"/>
          <w:szCs w:val="18"/>
        </w:rPr>
        <w:t>Dept. of Computer Engineering</w:t>
      </w:r>
      <w:r w:rsidR="001A3B3D" w:rsidRPr="00F847A6">
        <w:rPr>
          <w:sz w:val="18"/>
          <w:szCs w:val="18"/>
        </w:rPr>
        <w:br/>
      </w:r>
      <w:r w:rsidR="008963C0">
        <w:rPr>
          <w:sz w:val="18"/>
          <w:szCs w:val="18"/>
        </w:rPr>
        <w:t>Chulalongkorn University</w:t>
      </w:r>
      <w:r w:rsidR="001A3B3D" w:rsidRPr="00F847A6">
        <w:rPr>
          <w:i/>
          <w:sz w:val="18"/>
          <w:szCs w:val="18"/>
        </w:rPr>
        <w:br/>
      </w:r>
      <w:r w:rsidR="008963C0">
        <w:rPr>
          <w:sz w:val="18"/>
          <w:szCs w:val="18"/>
        </w:rPr>
        <w:t>Bangkok 10330, Thailand</w:t>
      </w:r>
      <w:r w:rsidR="008963C0" w:rsidRPr="00F847A6">
        <w:rPr>
          <w:sz w:val="18"/>
          <w:szCs w:val="18"/>
        </w:rPr>
        <w:br/>
      </w:r>
      <w:r w:rsidR="008963C0">
        <w:rPr>
          <w:sz w:val="18"/>
          <w:szCs w:val="18"/>
        </w:rPr>
        <w:t>6770231021@student.chula.ac.th</w:t>
      </w:r>
    </w:p>
    <w:p w14:paraId="0316535E" w14:textId="40FCE430" w:rsidR="009F1D79" w:rsidRDefault="009F1D79" w:rsidP="00F74B21">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Pr="008963C0" w:rsidRDefault="009303D9" w:rsidP="00972203">
      <w:pPr>
        <w:pStyle w:val="Abstract"/>
        <w:rPr>
          <w:i/>
          <w:iCs/>
          <w:color w:val="FF0000"/>
        </w:rPr>
      </w:pPr>
      <w:r w:rsidRPr="008963C0">
        <w:rPr>
          <w:i/>
          <w:iCs/>
          <w:color w:val="FF0000"/>
        </w:rPr>
        <w:t>Abstract</w:t>
      </w:r>
      <w:r w:rsidRPr="008963C0">
        <w:rPr>
          <w:color w:val="FF0000"/>
        </w:rPr>
        <w:t>—</w:t>
      </w:r>
      <w:r w:rsidR="005B0344" w:rsidRPr="008963C0">
        <w:rPr>
          <w:color w:val="FF0000"/>
        </w:rPr>
        <w:t xml:space="preserve">This electronic document is a “live” template and already defines the components of your paper [title, text, heads, etc.] in its style sheet.  </w:t>
      </w:r>
      <w:r w:rsidR="00E7596C" w:rsidRPr="008963C0">
        <w:rPr>
          <w:i/>
          <w:color w:val="FF0000"/>
        </w:rPr>
        <w:t>*</w:t>
      </w:r>
      <w:r w:rsidR="005B0344" w:rsidRPr="008963C0">
        <w:rPr>
          <w:i/>
          <w:color w:val="FF0000"/>
        </w:rPr>
        <w:t>CRITICAL:  Do</w:t>
      </w:r>
      <w:r w:rsidR="005B0344" w:rsidRPr="008963C0">
        <w:rPr>
          <w:rFonts w:eastAsia="Times New Roman"/>
          <w:i/>
          <w:color w:val="FF0000"/>
        </w:rPr>
        <w:t xml:space="preserve"> </w:t>
      </w:r>
      <w:r w:rsidR="005B0344" w:rsidRPr="008963C0">
        <w:rPr>
          <w:i/>
          <w:color w:val="FF0000"/>
        </w:rPr>
        <w:t>Not</w:t>
      </w:r>
      <w:r w:rsidR="005B0344" w:rsidRPr="008963C0">
        <w:rPr>
          <w:rFonts w:eastAsia="Times New Roman"/>
          <w:i/>
          <w:color w:val="FF0000"/>
        </w:rPr>
        <w:t xml:space="preserve"> </w:t>
      </w:r>
      <w:r w:rsidR="005B0344" w:rsidRPr="008963C0">
        <w:rPr>
          <w:i/>
          <w:color w:val="FF0000"/>
        </w:rPr>
        <w:t>Use</w:t>
      </w:r>
      <w:r w:rsidR="005B0344" w:rsidRPr="008963C0">
        <w:rPr>
          <w:rFonts w:eastAsia="Times New Roman"/>
          <w:i/>
          <w:color w:val="FF0000"/>
        </w:rPr>
        <w:t xml:space="preserve"> </w:t>
      </w:r>
      <w:r w:rsidR="005B0344" w:rsidRPr="008963C0">
        <w:rPr>
          <w:i/>
          <w:color w:val="FF0000"/>
        </w:rPr>
        <w:t>Symbols,</w:t>
      </w:r>
      <w:r w:rsidR="005B0344" w:rsidRPr="008963C0">
        <w:rPr>
          <w:rFonts w:eastAsia="Times New Roman"/>
          <w:i/>
          <w:color w:val="FF0000"/>
        </w:rPr>
        <w:t xml:space="preserve"> </w:t>
      </w:r>
      <w:r w:rsidR="005B0344" w:rsidRPr="008963C0">
        <w:rPr>
          <w:i/>
          <w:color w:val="FF0000"/>
        </w:rPr>
        <w:t>Special</w:t>
      </w:r>
      <w:r w:rsidR="005B0344" w:rsidRPr="008963C0">
        <w:rPr>
          <w:rFonts w:eastAsia="Times New Roman"/>
          <w:i/>
          <w:color w:val="FF0000"/>
        </w:rPr>
        <w:t xml:space="preserve"> </w:t>
      </w:r>
      <w:r w:rsidR="005B0344" w:rsidRPr="008963C0">
        <w:rPr>
          <w:i/>
          <w:color w:val="FF0000"/>
        </w:rPr>
        <w:t>Characters,</w:t>
      </w:r>
      <w:r w:rsidR="005B0344" w:rsidRPr="008963C0">
        <w:rPr>
          <w:rFonts w:eastAsia="Times New Roman"/>
          <w:i/>
          <w:color w:val="FF0000"/>
        </w:rPr>
        <w:t xml:space="preserve"> </w:t>
      </w:r>
      <w:r w:rsidR="00D7522C" w:rsidRPr="008963C0">
        <w:rPr>
          <w:rFonts w:eastAsia="Times New Roman"/>
          <w:i/>
          <w:color w:val="FF0000"/>
        </w:rPr>
        <w:t xml:space="preserve">Footnotes, </w:t>
      </w:r>
      <w:r w:rsidR="005B0344" w:rsidRPr="008963C0">
        <w:rPr>
          <w:i/>
          <w:color w:val="FF0000"/>
        </w:rPr>
        <w:t>or</w:t>
      </w:r>
      <w:r w:rsidR="005B0344" w:rsidRPr="008963C0">
        <w:rPr>
          <w:rFonts w:eastAsia="Times New Roman"/>
          <w:i/>
          <w:color w:val="FF0000"/>
        </w:rPr>
        <w:t xml:space="preserve"> </w:t>
      </w:r>
      <w:r w:rsidR="005B0344" w:rsidRPr="008963C0">
        <w:rPr>
          <w:i/>
          <w:color w:val="FF0000"/>
        </w:rPr>
        <w:t>Math</w:t>
      </w:r>
      <w:r w:rsidR="005B0344" w:rsidRPr="008963C0">
        <w:rPr>
          <w:rFonts w:eastAsia="Times New Roman"/>
          <w:i/>
          <w:color w:val="FF0000"/>
        </w:rPr>
        <w:t xml:space="preserve"> </w:t>
      </w:r>
      <w:r w:rsidR="005B0344" w:rsidRPr="008963C0">
        <w:rPr>
          <w:i/>
          <w:color w:val="FF0000"/>
        </w:rPr>
        <w:t>in</w:t>
      </w:r>
      <w:r w:rsidR="005B0344" w:rsidRPr="008963C0">
        <w:rPr>
          <w:rFonts w:eastAsia="Times New Roman"/>
          <w:i/>
          <w:color w:val="FF0000"/>
        </w:rPr>
        <w:t xml:space="preserve"> Paper </w:t>
      </w:r>
      <w:r w:rsidR="005B0344" w:rsidRPr="008963C0">
        <w:rPr>
          <w:i/>
          <w:color w:val="FF0000"/>
        </w:rPr>
        <w:t>Title</w:t>
      </w:r>
      <w:r w:rsidR="005B0344" w:rsidRPr="008963C0">
        <w:rPr>
          <w:rFonts w:eastAsia="Times New Roman"/>
          <w:i/>
          <w:color w:val="FF0000"/>
        </w:rPr>
        <w:t xml:space="preserve"> o</w:t>
      </w:r>
      <w:r w:rsidR="005B0344" w:rsidRPr="008963C0">
        <w:rPr>
          <w:i/>
          <w:color w:val="FF0000"/>
        </w:rPr>
        <w:t>r</w:t>
      </w:r>
      <w:r w:rsidR="005B0344" w:rsidRPr="008963C0">
        <w:rPr>
          <w:rFonts w:eastAsia="Times New Roman"/>
          <w:i/>
          <w:color w:val="FF0000"/>
        </w:rPr>
        <w:t xml:space="preserve"> </w:t>
      </w:r>
      <w:r w:rsidR="005B0344" w:rsidRPr="008963C0">
        <w:rPr>
          <w:i/>
          <w:color w:val="FF0000"/>
        </w:rPr>
        <w:t>Abstract</w:t>
      </w:r>
      <w:r w:rsidRPr="008963C0">
        <w:rPr>
          <w:color w:val="FF0000"/>
        </w:rPr>
        <w:t xml:space="preserve">. </w:t>
      </w:r>
      <w:r w:rsidRPr="008963C0">
        <w:rPr>
          <w:iCs/>
          <w:color w:val="FF0000"/>
        </w:rPr>
        <w:t>(</w:t>
      </w:r>
      <w:r w:rsidRPr="008963C0">
        <w:rPr>
          <w:b w:val="0"/>
          <w:i/>
          <w:iCs/>
          <w:color w:val="FF0000"/>
        </w:rPr>
        <w:t>Abstract</w:t>
      </w:r>
      <w:r w:rsidRPr="008963C0">
        <w:rPr>
          <w:iCs/>
          <w:color w:val="FF0000"/>
        </w:rPr>
        <w:t>)</w:t>
      </w:r>
    </w:p>
    <w:p w14:paraId="58B10678" w14:textId="26B82757" w:rsidR="009303D9" w:rsidRPr="004D72B5" w:rsidRDefault="004D72B5" w:rsidP="00972203">
      <w:pPr>
        <w:pStyle w:val="Keywords"/>
      </w:pPr>
      <w:r w:rsidRPr="004D72B5">
        <w:t>Keywords—</w:t>
      </w:r>
      <w:r w:rsidR="00F74B21">
        <w:t>Formal Verification</w:t>
      </w:r>
      <w:r w:rsidR="00D7522C">
        <w:t>,</w:t>
      </w:r>
      <w:r w:rsidR="009303D9" w:rsidRPr="004D72B5">
        <w:t xml:space="preserve"> </w:t>
      </w:r>
      <w:r w:rsidR="00F74B21">
        <w:t>Petri Net, Aircraft Turnaround, Deadlock Detection, Liveness Analysis, Model Checking, LTL, Ground Handling</w:t>
      </w:r>
    </w:p>
    <w:p w14:paraId="1A521F3C" w14:textId="21840B54" w:rsidR="009303D9" w:rsidRPr="00D632BE" w:rsidRDefault="009303D9" w:rsidP="006B6B66">
      <w:pPr>
        <w:pStyle w:val="Heading1"/>
      </w:pPr>
      <w:r w:rsidRPr="00D632BE">
        <w:t>Introductio</w:t>
      </w:r>
      <w:r w:rsidR="008423CF">
        <w:t>n</w:t>
      </w:r>
    </w:p>
    <w:p w14:paraId="5B84FB04" w14:textId="2FCCFC04" w:rsidR="009303D9" w:rsidRDefault="00B533FB" w:rsidP="00E7596C">
      <w:pPr>
        <w:pStyle w:val="BodyText"/>
      </w:pPr>
      <w:r>
        <w:t xml:space="preserve">The aircraft turnaround process refers to the set of operations performed on an </w:t>
      </w:r>
      <w:r>
        <w:rPr>
          <w:rFonts w:cs="Angsana New"/>
          <w:szCs w:val="25"/>
          <w:lang w:val="en-US" w:bidi="th-TH"/>
        </w:rPr>
        <w:t>aircraft from the moment it lands at an airport until it departs for its next flight.</w:t>
      </w:r>
      <w:r>
        <w:t xml:space="preserve"> </w:t>
      </w:r>
      <w:r w:rsidRPr="00B533FB">
        <w:rPr>
          <w:color w:val="000000" w:themeColor="text1"/>
        </w:rPr>
        <w:t>T</w:t>
      </w:r>
      <w:r>
        <w:rPr>
          <w:color w:val="000000" w:themeColor="text1"/>
        </w:rPr>
        <w:t xml:space="preserve">his process is a critical determinant of airline </w:t>
      </w:r>
      <w:r>
        <w:rPr>
          <w:rFonts w:cs="Angsana New"/>
          <w:color w:val="000000" w:themeColor="text1"/>
          <w:szCs w:val="25"/>
          <w:lang w:val="en-US" w:bidi="th-TH"/>
        </w:rPr>
        <w:t>on time performance (OTP) and i</w:t>
      </w:r>
      <w:r>
        <w:rPr>
          <w:rFonts w:cs="Angsana New"/>
          <w:color w:val="000000" w:themeColor="text1"/>
          <w:szCs w:val="25"/>
          <w:lang w:val="en-US" w:bidi="th-TH"/>
        </w:rPr>
        <w:t xml:space="preserve">nvolves the coordination </w:t>
      </w:r>
      <w:proofErr w:type="spellStart"/>
      <w:r>
        <w:rPr>
          <w:rFonts w:cs="Angsana New"/>
          <w:color w:val="000000" w:themeColor="text1"/>
          <w:szCs w:val="25"/>
          <w:lang w:val="en-US" w:bidi="th-TH"/>
        </w:rPr>
        <w:t>of</w:t>
      </w:r>
      <w:proofErr w:type="spellEnd"/>
      <w:r>
        <w:rPr>
          <w:rFonts w:cs="Angsana New"/>
          <w:color w:val="000000" w:themeColor="text1"/>
          <w:szCs w:val="25"/>
          <w:lang w:val="en-US" w:bidi="th-TH"/>
        </w:rPr>
        <w:t xml:space="preserve"> multiple stakeholders, including airport authorities (e.g., Airport of Thailand</w:t>
      </w:r>
      <w:r>
        <w:t>: AOT), air navigation service providers (e.g., AEROTHAI), a</w:t>
      </w:r>
      <w:r w:rsidR="007A5860">
        <w:t>nd</w:t>
      </w:r>
      <w:r>
        <w:t xml:space="preserve"> individual airline ground handling teams</w:t>
      </w:r>
      <w:r w:rsidR="00280DF7">
        <w:t xml:space="preserve"> [1]</w:t>
      </w:r>
    </w:p>
    <w:p w14:paraId="46337786" w14:textId="3E671FC9" w:rsidR="00280DF7" w:rsidRDefault="00280DF7" w:rsidP="00E7596C">
      <w:pPr>
        <w:pStyle w:val="BodyText"/>
        <w:rPr>
          <w:rFonts w:cs="Angsana New"/>
          <w:szCs w:val="25"/>
          <w:lang w:val="en-US" w:bidi="th-TH"/>
        </w:rPr>
      </w:pPr>
      <w:r>
        <w:t>The turnaround process</w:t>
      </w:r>
      <w:r>
        <w:rPr>
          <w:rFonts w:hint="cs"/>
          <w:cs/>
          <w:lang w:bidi="th-TH"/>
        </w:rPr>
        <w:t xml:space="preserve"> </w:t>
      </w:r>
      <w:r>
        <w:rPr>
          <w:rFonts w:cs="Angsana New"/>
          <w:szCs w:val="25"/>
          <w:lang w:val="en-US" w:bidi="th-TH"/>
        </w:rPr>
        <w:t>can be divided into three main phases: (1) Arrival and Docking, where the aircraft lands, taxis to its assigned gate, and passengers disembark</w:t>
      </w:r>
      <w:r w:rsidR="00B36831">
        <w:rPr>
          <w:rFonts w:cs="Angsana New"/>
          <w:szCs w:val="25"/>
          <w:lang w:val="en-US" w:bidi="th-TH"/>
        </w:rPr>
        <w:t>; (2) Ground Handling, where multiple service teams work in parallel to prepare the aircraft for its next flight; and (3) Departure Preparation, where weight and balance</w:t>
      </w:r>
      <w:r w:rsidR="00042ED3">
        <w:rPr>
          <w:rFonts w:cs="Angsana New"/>
          <w:szCs w:val="25"/>
          <w:lang w:val="en-US" w:bidi="th-TH"/>
        </w:rPr>
        <w:t xml:space="preserve"> calculations are completed, passengers board, and the aircraft pushes back for takeoff [2]</w:t>
      </w:r>
    </w:p>
    <w:p w14:paraId="4D5B830D" w14:textId="10D54AD6" w:rsidR="00156D5B" w:rsidRDefault="00156D5B" w:rsidP="00E7596C">
      <w:pPr>
        <w:pStyle w:val="BodyText"/>
      </w:pPr>
      <w:r>
        <w:rPr>
          <w:rFonts w:cs="Angsana New"/>
          <w:szCs w:val="25"/>
          <w:lang w:val="en-US" w:bidi="th-TH"/>
        </w:rPr>
        <w:t>The ground handling phase is particularly challenging because it involves concurrent operations by multiple teams</w:t>
      </w:r>
      <w:r w:rsidR="00C41218">
        <w:t>—</w:t>
      </w:r>
      <w:r w:rsidR="00C41218">
        <w:t xml:space="preserve">all sharing limited resources such as apron space and ground </w:t>
      </w:r>
      <w:r w:rsidR="00EC5279">
        <w:t xml:space="preserve">and ground support equipment (GSE) [8][11], but </w:t>
      </w:r>
      <w:r w:rsidR="009621C6">
        <w:t>these approaches cannot provide formal guarantees about dea</w:t>
      </w:r>
      <w:r w:rsidR="007A5860">
        <w:t>d</w:t>
      </w:r>
      <w:r w:rsidR="009621C6">
        <w:t>lock</w:t>
      </w:r>
      <w:r w:rsidR="007A5860">
        <w:t xml:space="preserve"> or safety property correctness under all possible resource contention scenarios. When multiple concurrent processes compete for shared resources, the risk of deadlock arises: a situation where every process is waiting for a resource held by another, resulting in a complete standstill [3]. For example, a fuel truck may block the path of a catering truck, which in turn blocks a baggage cart, which blocks the fuel truck, creating a circular wait condition.</w:t>
      </w:r>
    </w:p>
    <w:p w14:paraId="703CE1A0" w14:textId="05295853" w:rsidR="00DA17F9" w:rsidRDefault="00DA17F9" w:rsidP="00E7596C">
      <w:pPr>
        <w:pStyle w:val="BodyText"/>
        <w:rPr>
          <w:rFonts w:cs="Angsana New"/>
          <w:szCs w:val="25"/>
          <w:lang w:val="en-US" w:bidi="th-TH"/>
        </w:rPr>
      </w:pPr>
      <w:r>
        <w:rPr>
          <w:rFonts w:cs="Angsana New"/>
          <w:szCs w:val="25"/>
          <w:lang w:val="en-US" w:bidi="th-TH"/>
        </w:rPr>
        <w:t xml:space="preserve">Beyond </w:t>
      </w:r>
      <w:r w:rsidR="00371F4B">
        <w:rPr>
          <w:rFonts w:cs="Angsana New"/>
          <w:szCs w:val="25"/>
          <w:lang w:val="en-US" w:bidi="th-TH"/>
        </w:rPr>
        <w:t>deadlock, safety constraints impose strict ordering requirements. For instance, pushback must not occur while refueling is in progress</w:t>
      </w:r>
      <w:r w:rsidR="00327D30">
        <w:rPr>
          <w:rFonts w:cs="Angsana New"/>
          <w:szCs w:val="25"/>
          <w:lang w:val="en-US" w:bidi="th-TH"/>
        </w:rPr>
        <w:t>, and boarding can only begin after all ground handling tasks are completed [4]. Violations of these constraints can lead to serious safety incidents.</w:t>
      </w:r>
    </w:p>
    <w:p w14:paraId="6E003DF2" w14:textId="5C03D16B" w:rsidR="004A71C3" w:rsidRDefault="004A71C3" w:rsidP="00E7596C">
      <w:pPr>
        <w:pStyle w:val="BodyText"/>
        <w:rPr>
          <w:rFonts w:cs="Angsana New"/>
          <w:szCs w:val="25"/>
          <w:lang w:val="en-US" w:bidi="th-TH"/>
        </w:rPr>
      </w:pPr>
      <w:r>
        <w:rPr>
          <w:rFonts w:cs="Angsana New"/>
          <w:szCs w:val="25"/>
          <w:lang w:val="en-US" w:bidi="th-TH"/>
        </w:rPr>
        <w:t>Currently, turnaround operations are managed primarily through Standard Operating Procedures (SOPs) written in natural language, which may be ambiguous or incomplete, particularly in exceptional scenarios such</w:t>
      </w:r>
      <w:r w:rsidR="002A6222">
        <w:rPr>
          <w:rFonts w:cs="Angsana New"/>
          <w:szCs w:val="25"/>
          <w:lang w:val="en-US" w:bidi="th-TH"/>
        </w:rPr>
        <w:t xml:space="preserve"> </w:t>
      </w:r>
      <w:r>
        <w:rPr>
          <w:rFonts w:cs="Angsana New"/>
          <w:szCs w:val="25"/>
          <w:lang w:val="en-US" w:bidi="th-TH"/>
        </w:rPr>
        <w:t>as GSE malfunctions</w:t>
      </w:r>
      <w:r w:rsidR="002A6222">
        <w:rPr>
          <w:rFonts w:cs="Angsana New"/>
          <w:szCs w:val="25"/>
          <w:lang w:val="en-US" w:bidi="th-TH"/>
        </w:rPr>
        <w:t xml:space="preserve"> </w:t>
      </w:r>
      <w:r>
        <w:rPr>
          <w:rFonts w:cs="Angsana New"/>
          <w:szCs w:val="25"/>
          <w:lang w:val="en-US" w:bidi="th-TH"/>
        </w:rPr>
        <w:t>[5]. This motivates the application of formal methods to provide mathematically rigorous guarantees about system beha</w:t>
      </w:r>
      <w:r w:rsidR="002A6222">
        <w:rPr>
          <w:rFonts w:cs="Angsana New"/>
          <w:szCs w:val="25"/>
          <w:lang w:val="en-US" w:bidi="th-TH"/>
        </w:rPr>
        <w:t>vio</w:t>
      </w:r>
      <w:r>
        <w:rPr>
          <w:rFonts w:cs="Angsana New"/>
          <w:szCs w:val="25"/>
          <w:lang w:val="en-US" w:bidi="th-TH"/>
        </w:rPr>
        <w:t>r.</w:t>
      </w:r>
    </w:p>
    <w:p w14:paraId="5023F157" w14:textId="7B5AFCB5" w:rsidR="002A6222" w:rsidRDefault="002A6222" w:rsidP="00E7596C">
      <w:pPr>
        <w:pStyle w:val="BodyText"/>
        <w:rPr>
          <w:rFonts w:cs="Angsana New"/>
          <w:szCs w:val="25"/>
          <w:lang w:val="en-US" w:bidi="th-TH"/>
        </w:rPr>
      </w:pPr>
      <w:r>
        <w:rPr>
          <w:rFonts w:cs="Angsana New"/>
          <w:szCs w:val="25"/>
          <w:lang w:val="en-US" w:bidi="th-TH"/>
        </w:rPr>
        <w:t>In this paper, we apply formal verification using</w:t>
      </w:r>
      <w:r w:rsidR="002E5742">
        <w:rPr>
          <w:rFonts w:cs="Angsana New"/>
          <w:szCs w:val="25"/>
          <w:lang w:val="en-US" w:bidi="th-TH"/>
        </w:rPr>
        <w:t xml:space="preserve"> Place/Transition Petri Nets to model the aircraft turnaround process. W</w:t>
      </w:r>
      <w:r w:rsidR="004737DB">
        <w:rPr>
          <w:rFonts w:cs="Angsana New"/>
          <w:szCs w:val="25"/>
          <w:lang w:val="en-US" w:bidi="th-TH"/>
        </w:rPr>
        <w:t>e use the TINA tool to perform state space analysis for deadlock detection and LTL model checking to verify safety and liveness properties. Our model considers three aircraft sharing three gate, one runway, and limited GSE resources, reflecting a realistic constrained scenario.</w:t>
      </w:r>
    </w:p>
    <w:p w14:paraId="179EA777" w14:textId="6C745167" w:rsidR="009303D9" w:rsidRPr="006B6B66" w:rsidRDefault="000F725C" w:rsidP="006B6B66">
      <w:pPr>
        <w:pStyle w:val="Heading1"/>
      </w:pPr>
      <w:r>
        <w:t>Related work</w:t>
      </w:r>
    </w:p>
    <w:p w14:paraId="3C8B3FFF" w14:textId="4B70E819" w:rsidR="009303D9" w:rsidRDefault="000F725C" w:rsidP="00ED0149">
      <w:pPr>
        <w:pStyle w:val="Heading2"/>
      </w:pPr>
      <w:r>
        <w:t>Formal Verification in Aviation Systems</w:t>
      </w:r>
    </w:p>
    <w:p w14:paraId="4522E337" w14:textId="199B413E" w:rsidR="009303D9" w:rsidRPr="005B520E" w:rsidRDefault="000F725C" w:rsidP="00E7596C">
      <w:pPr>
        <w:pStyle w:val="BodyText"/>
      </w:pPr>
      <w:r>
        <w:t>Formal verification has a long history of application in safety-critical aviation systems</w:t>
      </w:r>
      <w:r w:rsidR="009303D9" w:rsidRPr="005B520E">
        <w:t>.</w:t>
      </w:r>
      <w:r>
        <w:t xml:space="preserve"> Model checking</w:t>
      </w:r>
    </w:p>
    <w:p w14:paraId="66739D0E" w14:textId="77777777" w:rsidR="009303D9" w:rsidRPr="000F725C" w:rsidRDefault="009303D9" w:rsidP="00ED0149">
      <w:pPr>
        <w:pStyle w:val="Heading2"/>
        <w:rPr>
          <w:color w:val="FF0000"/>
        </w:rPr>
      </w:pPr>
      <w:r w:rsidRPr="000F725C">
        <w:rPr>
          <w:color w:val="FF0000"/>
        </w:rPr>
        <w:t>Maintaining the Integrity of the Specifications</w:t>
      </w:r>
    </w:p>
    <w:p w14:paraId="5C0EAC8C" w14:textId="62D81B67" w:rsidR="000F725C" w:rsidRPr="000F725C" w:rsidRDefault="009303D9" w:rsidP="00E7596C">
      <w:pPr>
        <w:pStyle w:val="BodyText"/>
        <w:rPr>
          <w:color w:val="FF0000"/>
        </w:rPr>
      </w:pPr>
      <w:r w:rsidRPr="000F725C">
        <w:rPr>
          <w:color w:val="FF0000"/>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2B067A8E" w:rsidR="009303D9" w:rsidRDefault="00086506" w:rsidP="006B6B66">
      <w:pPr>
        <w:pStyle w:val="Heading1"/>
      </w:pPr>
      <w:r>
        <w:t>Background and preliminaries</w:t>
      </w:r>
    </w:p>
    <w:p w14:paraId="1605C5EC" w14:textId="30F89F7F" w:rsidR="00086506" w:rsidRDefault="00E26E39" w:rsidP="00086506">
      <w:pPr>
        <w:pStyle w:val="Heading2"/>
      </w:pPr>
      <w:r>
        <w:t>Petri Net: Formal Definition</w:t>
      </w:r>
    </w:p>
    <w:p w14:paraId="6BCC41D0" w14:textId="7470160D" w:rsidR="00086506" w:rsidRDefault="00E26E39" w:rsidP="00086506">
      <w:pPr>
        <w:pStyle w:val="BodyText"/>
        <w:rPr>
          <w:rFonts w:cs="Angsana New"/>
          <w:szCs w:val="25"/>
          <w:lang w:val="en-US" w:bidi="th-TH"/>
        </w:rPr>
      </w:pPr>
      <w:r>
        <w:t xml:space="preserve">A Place/Transition Petri Net is a 4-tuple PN = (P, T, F, W) where is P is a finite set of places, T is a finite set of transitions </w:t>
      </w:r>
      <w:r>
        <w:t>(P ∩ T = ∅), F ⊆ (P×T) ∪ (T×P)</w:t>
      </w:r>
      <w:r>
        <w:t xml:space="preserve"> is a set of directed arcs</w:t>
      </w:r>
      <w:r w:rsidR="005C51B4">
        <w:rPr>
          <w:rFonts w:cs="Angsana New"/>
          <w:szCs w:val="25"/>
          <w:lang w:val="en-US" w:bidi="th-TH"/>
        </w:rPr>
        <w:t>, and W: F</w:t>
      </w:r>
      <w:r w:rsidR="005C51B4">
        <w:rPr>
          <w:rFonts w:cs="Angsana New" w:hint="cs"/>
          <w:szCs w:val="25"/>
          <w:cs/>
          <w:lang w:val="en-US" w:bidi="th-TH"/>
        </w:rPr>
        <w:t xml:space="preserve"> </w:t>
      </w:r>
      <w:r w:rsidR="005C51B4" w:rsidRPr="005C51B4">
        <w:rPr>
          <w:rFonts w:cs="Angsana New" w:hint="eastAsia"/>
          <w:szCs w:val="25"/>
          <w:lang w:val="en-US" w:bidi="th-TH"/>
        </w:rPr>
        <w:t>→</w:t>
      </w:r>
      <w:r w:rsidR="005C51B4" w:rsidRPr="005C51B4">
        <w:rPr>
          <w:rFonts w:cs="Angsana New"/>
          <w:szCs w:val="25"/>
          <w:lang w:val="en-US" w:bidi="th-TH"/>
        </w:rPr>
        <w:t xml:space="preserve"> ℕ⁺ is a weight function. A marking M: P </w:t>
      </w:r>
      <w:r w:rsidR="005C51B4" w:rsidRPr="005C51B4">
        <w:rPr>
          <w:rFonts w:cs="Angsana New" w:hint="eastAsia"/>
          <w:szCs w:val="25"/>
          <w:lang w:val="en-US" w:bidi="th-TH"/>
        </w:rPr>
        <w:t>→</w:t>
      </w:r>
      <w:r w:rsidR="005C51B4" w:rsidRPr="005C51B4">
        <w:rPr>
          <w:rFonts w:cs="Angsana New"/>
          <w:szCs w:val="25"/>
          <w:lang w:val="en-US" w:bidi="th-TH"/>
        </w:rPr>
        <w:t xml:space="preserve"> ℕ</w:t>
      </w:r>
      <w:r w:rsidR="005C51B4" w:rsidRPr="005C51B4">
        <w:rPr>
          <w:rFonts w:ascii="Cambria Math" w:hAnsi="Cambria Math" w:cs="Cambria Math" w:hint="cs"/>
          <w:szCs w:val="25"/>
          <w:cs/>
          <w:lang w:val="en-US" w:bidi="th-TH"/>
        </w:rPr>
        <w:t>₀</w:t>
      </w:r>
      <w:r w:rsidR="005C51B4" w:rsidRPr="005C51B4">
        <w:rPr>
          <w:rFonts w:cs="Angsana New"/>
          <w:szCs w:val="25"/>
          <w:cs/>
          <w:lang w:val="en-US" w:bidi="th-TH"/>
        </w:rPr>
        <w:t xml:space="preserve"> </w:t>
      </w:r>
      <w:r w:rsidR="005C51B4" w:rsidRPr="005C51B4">
        <w:rPr>
          <w:rFonts w:cs="Angsana New"/>
          <w:szCs w:val="25"/>
          <w:lang w:val="en-US" w:bidi="th-TH"/>
        </w:rPr>
        <w:t>assigns a non-negative integer (token count) to each place and represents the current system state. The initial marking is denoted M</w:t>
      </w:r>
      <w:r w:rsidR="005C51B4" w:rsidRPr="005C51B4">
        <w:rPr>
          <w:rFonts w:ascii="Cambria Math" w:hAnsi="Cambria Math" w:cs="Cambria Math" w:hint="cs"/>
          <w:szCs w:val="25"/>
          <w:cs/>
          <w:lang w:val="en-US" w:bidi="th-TH"/>
        </w:rPr>
        <w:t>₀</w:t>
      </w:r>
      <w:r w:rsidR="005C51B4" w:rsidRPr="005C51B4">
        <w:rPr>
          <w:rFonts w:cs="Angsana New"/>
          <w:szCs w:val="25"/>
          <w:cs/>
          <w:lang w:val="en-US" w:bidi="th-TH"/>
        </w:rPr>
        <w:t>.</w:t>
      </w:r>
    </w:p>
    <w:p w14:paraId="5B9BFBE9" w14:textId="4F4724C0" w:rsidR="0048416B" w:rsidRDefault="0048416B" w:rsidP="00086506">
      <w:pPr>
        <w:pStyle w:val="BodyText"/>
        <w:rPr>
          <w:rFonts w:cs="Angsana New"/>
          <w:szCs w:val="25"/>
          <w:lang w:val="en-US" w:bidi="th-TH"/>
        </w:rPr>
      </w:pPr>
      <w:r>
        <w:rPr>
          <w:rFonts w:cs="Angsana New"/>
          <w:szCs w:val="25"/>
          <w:lang w:val="en-US" w:bidi="th-TH"/>
        </w:rPr>
        <w:t xml:space="preserve">A transition t is enabled under marking M if every input </w:t>
      </w:r>
      <w:r w:rsidRPr="0048416B">
        <w:rPr>
          <w:rFonts w:cs="Angsana New" w:hint="eastAsia"/>
          <w:szCs w:val="25"/>
          <w:lang w:val="en-US" w:bidi="th-TH"/>
        </w:rPr>
        <w:t xml:space="preserve">place p </w:t>
      </w:r>
      <w:r w:rsidRPr="0048416B">
        <w:rPr>
          <w:rFonts w:cs="Angsana New" w:hint="eastAsia"/>
          <w:szCs w:val="25"/>
          <w:lang w:val="en-US" w:bidi="th-TH"/>
        </w:rPr>
        <w:t>∈</w:t>
      </w:r>
      <w:r w:rsidRPr="0048416B">
        <w:rPr>
          <w:rFonts w:cs="Angsana New" w:hint="eastAsia"/>
          <w:szCs w:val="25"/>
          <w:lang w:val="en-US" w:bidi="th-TH"/>
        </w:rPr>
        <w:t xml:space="preserve"> </w:t>
      </w:r>
      <w:r w:rsidRPr="0048416B">
        <w:rPr>
          <w:rFonts w:cs="Angsana New" w:hint="eastAsia"/>
          <w:szCs w:val="25"/>
          <w:lang w:val="en-US" w:bidi="th-TH"/>
        </w:rPr>
        <w:t>•</w:t>
      </w:r>
      <w:r w:rsidRPr="0048416B">
        <w:rPr>
          <w:rFonts w:cs="Angsana New" w:hint="eastAsia"/>
          <w:szCs w:val="25"/>
          <w:lang w:val="en-US" w:bidi="th-TH"/>
        </w:rPr>
        <w:t>t holds at least W(</w:t>
      </w:r>
      <w:proofErr w:type="spellStart"/>
      <w:proofErr w:type="gramStart"/>
      <w:r w:rsidRPr="0048416B">
        <w:rPr>
          <w:rFonts w:cs="Angsana New" w:hint="eastAsia"/>
          <w:szCs w:val="25"/>
          <w:lang w:val="en-US" w:bidi="th-TH"/>
        </w:rPr>
        <w:t>p,t</w:t>
      </w:r>
      <w:proofErr w:type="spellEnd"/>
      <w:proofErr w:type="gramEnd"/>
      <w:r w:rsidRPr="0048416B">
        <w:rPr>
          <w:rFonts w:cs="Angsana New" w:hint="eastAsia"/>
          <w:szCs w:val="25"/>
          <w:lang w:val="en-US" w:bidi="th-TH"/>
        </w:rPr>
        <w:t>) tokens.</w:t>
      </w:r>
      <w:r>
        <w:rPr>
          <w:rFonts w:cs="Angsana New"/>
          <w:szCs w:val="25"/>
          <w:lang w:val="en-US" w:bidi="th-TH"/>
        </w:rPr>
        <w:t xml:space="preserve"> When t fires, W(</w:t>
      </w:r>
      <w:proofErr w:type="spellStart"/>
      <w:proofErr w:type="gramStart"/>
      <w:r>
        <w:rPr>
          <w:rFonts w:cs="Angsana New"/>
          <w:szCs w:val="25"/>
          <w:lang w:val="en-US" w:bidi="th-TH"/>
        </w:rPr>
        <w:t>p,t</w:t>
      </w:r>
      <w:proofErr w:type="spellEnd"/>
      <w:proofErr w:type="gramEnd"/>
      <w:r>
        <w:rPr>
          <w:rFonts w:cs="Angsana New"/>
          <w:szCs w:val="25"/>
          <w:lang w:val="en-US" w:bidi="th-TH"/>
        </w:rPr>
        <w:t xml:space="preserve">) tokens are removed from each input place </w:t>
      </w:r>
      <w:r w:rsidRPr="0048416B">
        <w:rPr>
          <w:rFonts w:cs="Angsana New" w:hint="eastAsia"/>
          <w:szCs w:val="25"/>
          <w:lang w:val="en-US" w:bidi="th-TH"/>
        </w:rPr>
        <w:t xml:space="preserve">p </w:t>
      </w:r>
      <w:r w:rsidRPr="0048416B">
        <w:rPr>
          <w:rFonts w:cs="Angsana New" w:hint="eastAsia"/>
          <w:szCs w:val="25"/>
          <w:lang w:val="en-US" w:bidi="th-TH"/>
        </w:rPr>
        <w:t>∈</w:t>
      </w:r>
      <w:r w:rsidRPr="0048416B">
        <w:rPr>
          <w:rFonts w:cs="Angsana New" w:hint="eastAsia"/>
          <w:szCs w:val="25"/>
          <w:lang w:val="en-US" w:bidi="th-TH"/>
        </w:rPr>
        <w:t xml:space="preserve"> </w:t>
      </w:r>
      <w:r w:rsidRPr="0048416B">
        <w:rPr>
          <w:rFonts w:cs="Angsana New" w:hint="eastAsia"/>
          <w:szCs w:val="25"/>
          <w:lang w:val="en-US" w:bidi="th-TH"/>
        </w:rPr>
        <w:t>•</w:t>
      </w:r>
      <w:r w:rsidRPr="0048416B">
        <w:rPr>
          <w:rFonts w:cs="Angsana New" w:hint="eastAsia"/>
          <w:szCs w:val="25"/>
          <w:lang w:val="en-US" w:bidi="th-TH"/>
        </w:rPr>
        <w:t>t and W(</w:t>
      </w:r>
      <w:proofErr w:type="spellStart"/>
      <w:r w:rsidRPr="0048416B">
        <w:rPr>
          <w:rFonts w:cs="Angsana New" w:hint="eastAsia"/>
          <w:szCs w:val="25"/>
          <w:lang w:val="en-US" w:bidi="th-TH"/>
        </w:rPr>
        <w:t>t,p</w:t>
      </w:r>
      <w:proofErr w:type="spellEnd"/>
      <w:r w:rsidRPr="0048416B">
        <w:rPr>
          <w:rFonts w:cs="Angsana New" w:hint="eastAsia"/>
          <w:szCs w:val="25"/>
          <w:lang w:val="en-US" w:bidi="th-TH"/>
        </w:rPr>
        <w:t xml:space="preserve">) </w:t>
      </w:r>
      <w:r w:rsidRPr="0048416B">
        <w:rPr>
          <w:rFonts w:cs="Angsana New" w:hint="eastAsia"/>
          <w:szCs w:val="25"/>
          <w:lang w:val="en-US" w:bidi="th-TH"/>
        </w:rPr>
        <w:lastRenderedPageBreak/>
        <w:t xml:space="preserve">tokens are added to each output place p </w:t>
      </w:r>
      <w:r w:rsidRPr="0048416B">
        <w:rPr>
          <w:rFonts w:cs="Angsana New" w:hint="eastAsia"/>
          <w:szCs w:val="25"/>
          <w:lang w:val="en-US" w:bidi="th-TH"/>
        </w:rPr>
        <w:t>∈</w:t>
      </w:r>
      <w:r w:rsidRPr="0048416B">
        <w:rPr>
          <w:rFonts w:cs="Angsana New" w:hint="eastAsia"/>
          <w:szCs w:val="25"/>
          <w:lang w:val="en-US" w:bidi="th-TH"/>
        </w:rPr>
        <w:t xml:space="preserve"> t</w:t>
      </w:r>
      <w:r w:rsidRPr="0048416B">
        <w:rPr>
          <w:rFonts w:cs="Angsana New" w:hint="eastAsia"/>
          <w:szCs w:val="25"/>
          <w:lang w:val="en-US" w:bidi="th-TH"/>
        </w:rPr>
        <w:t>•</w:t>
      </w:r>
      <w:r w:rsidRPr="0048416B">
        <w:rPr>
          <w:rFonts w:cs="Angsana New" w:hint="eastAsia"/>
          <w:szCs w:val="25"/>
          <w:lang w:val="en-US" w:bidi="th-TH"/>
        </w:rPr>
        <w:t>, producing a new marking M'</w:t>
      </w:r>
    </w:p>
    <w:p w14:paraId="7240D85B" w14:textId="28A2ACA3" w:rsidR="00880834" w:rsidRDefault="003E30CF" w:rsidP="00086506">
      <w:pPr>
        <w:pStyle w:val="BodyText"/>
        <w:rPr>
          <w:rFonts w:cs="Angsana New"/>
          <w:szCs w:val="25"/>
          <w:lang w:val="en-US" w:bidi="th-TH"/>
        </w:rPr>
      </w:pPr>
      <w:r w:rsidRPr="003E30CF">
        <w:rPr>
          <w:rFonts w:cs="Angsana New"/>
          <w:szCs w:val="25"/>
          <w:lang w:val="en-US" w:bidi="th-TH"/>
        </w:rPr>
        <w:drawing>
          <wp:inline distT="0" distB="0" distL="0" distR="0" wp14:anchorId="4C3EBD43" wp14:editId="1232242E">
            <wp:extent cx="3089910" cy="573405"/>
            <wp:effectExtent l="0" t="0" r="0" b="0"/>
            <wp:docPr id="107111175" name="Picture 1" descr="A diagram of a circle with arrow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111175" name="Picture 1" descr="A diagram of a circle with arrows&#10;&#10;Description automatically generated"/>
                    <pic:cNvPicPr/>
                  </pic:nvPicPr>
                  <pic:blipFill>
                    <a:blip r:embed="rId9"/>
                    <a:stretch>
                      <a:fillRect/>
                    </a:stretch>
                  </pic:blipFill>
                  <pic:spPr>
                    <a:xfrm>
                      <a:off x="0" y="0"/>
                      <a:ext cx="3089910" cy="573405"/>
                    </a:xfrm>
                    <a:prstGeom prst="rect">
                      <a:avLst/>
                    </a:prstGeom>
                  </pic:spPr>
                </pic:pic>
              </a:graphicData>
            </a:graphic>
          </wp:inline>
        </w:drawing>
      </w:r>
    </w:p>
    <w:p w14:paraId="231E591C" w14:textId="6DF6ADE5" w:rsidR="00880834" w:rsidRPr="00880834" w:rsidRDefault="00880834" w:rsidP="00880834">
      <w:pPr>
        <w:pStyle w:val="BodyText"/>
        <w:jc w:val="center"/>
      </w:pPr>
      <w:r>
        <w:rPr>
          <w:i/>
        </w:rPr>
        <w:t>Fig. 1.  An example P/T Petri Net showing a place p with one token, transition t, and arc notation.</w:t>
      </w:r>
    </w:p>
    <w:p w14:paraId="1FBC9C4E" w14:textId="77777777" w:rsidR="00D7522C" w:rsidRPr="00D7522C" w:rsidRDefault="009303D9" w:rsidP="00E7596C">
      <w:pPr>
        <w:pStyle w:val="BodyText"/>
        <w:rPr>
          <w:lang w:val="en-US"/>
        </w:rPr>
      </w:pPr>
      <w:r w:rsidRPr="0048416B">
        <w:rPr>
          <w:color w:val="FF0000"/>
        </w:rPr>
        <w:t xml:space="preserve">Before you begin to format your paper, first write and save the content as a separate text file. </w:t>
      </w:r>
      <w:r w:rsidR="00D7522C" w:rsidRPr="0048416B">
        <w:rPr>
          <w:color w:val="FF0000"/>
          <w:lang w:val="en-US"/>
        </w:rPr>
        <w:t xml:space="preserve">Complete all content and </w:t>
      </w:r>
      <w:r w:rsidR="00D7522C">
        <w:rPr>
          <w:lang w:val="en-US"/>
        </w:rPr>
        <w:t>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w:t>
      </w:r>
      <w:r w:rsidRPr="005B520E">
        <w:t>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lastRenderedPageBreak/>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lastRenderedPageBreak/>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A726F61" w14:textId="77777777" w:rsidR="00E410A0" w:rsidRDefault="00E410A0" w:rsidP="001A3B3D">
      <w:r>
        <w:separator/>
      </w:r>
    </w:p>
  </w:endnote>
  <w:endnote w:type="continuationSeparator" w:id="0">
    <w:p w14:paraId="34C33779" w14:textId="77777777" w:rsidR="00E410A0" w:rsidRDefault="00E410A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ngsana New">
    <w:panose1 w:val="02020603050405020304"/>
    <w:charset w:characterSet="windows-874"/>
    <w:family w:val="roman"/>
    <w:pitch w:val="variable"/>
    <w:sig w:usb0="81000003" w:usb1="00000000" w:usb2="00000000" w:usb3="00000000" w:csb0="00010001" w:csb1="00000000"/>
  </w:font>
  <w:font w:name="Cambria Math">
    <w:panose1 w:val="02040503050406030204"/>
    <w:charset w:characterSet="iso-8859-1"/>
    <w:family w:val="roman"/>
    <w:pitch w:val="variable"/>
    <w:sig w:usb0="E00002FF" w:usb1="420024FF" w:usb2="00000000" w:usb3="00000000" w:csb0="000001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07E194AE" w14:textId="77777777" w:rsidR="00E410A0" w:rsidRDefault="00E410A0" w:rsidP="001A3B3D">
      <w:r>
        <w:separator/>
      </w:r>
    </w:p>
  </w:footnote>
  <w:footnote w:type="continuationSeparator" w:id="0">
    <w:p w14:paraId="5E252913" w14:textId="77777777" w:rsidR="00E410A0" w:rsidRDefault="00E410A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444692A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122"/>
    <w:rsid w:val="00042ED3"/>
    <w:rsid w:val="0004781E"/>
    <w:rsid w:val="00086506"/>
    <w:rsid w:val="0008758A"/>
    <w:rsid w:val="000C1E68"/>
    <w:rsid w:val="000E7950"/>
    <w:rsid w:val="000F725C"/>
    <w:rsid w:val="00156D5B"/>
    <w:rsid w:val="001A2EFD"/>
    <w:rsid w:val="001A3B3D"/>
    <w:rsid w:val="001B67DC"/>
    <w:rsid w:val="002254A9"/>
    <w:rsid w:val="00233D97"/>
    <w:rsid w:val="002347A2"/>
    <w:rsid w:val="00280DF7"/>
    <w:rsid w:val="002850E3"/>
    <w:rsid w:val="002A118B"/>
    <w:rsid w:val="002A6222"/>
    <w:rsid w:val="002E5742"/>
    <w:rsid w:val="00327D30"/>
    <w:rsid w:val="00354FCF"/>
    <w:rsid w:val="00371F4B"/>
    <w:rsid w:val="003A19E2"/>
    <w:rsid w:val="003B2B40"/>
    <w:rsid w:val="003B4E04"/>
    <w:rsid w:val="003E30CF"/>
    <w:rsid w:val="003F5A08"/>
    <w:rsid w:val="00420716"/>
    <w:rsid w:val="004325FB"/>
    <w:rsid w:val="004432BA"/>
    <w:rsid w:val="0044407E"/>
    <w:rsid w:val="00447BB9"/>
    <w:rsid w:val="0046031D"/>
    <w:rsid w:val="004737DB"/>
    <w:rsid w:val="00473AC9"/>
    <w:rsid w:val="0048416B"/>
    <w:rsid w:val="004A71C3"/>
    <w:rsid w:val="004D72B5"/>
    <w:rsid w:val="00551B7F"/>
    <w:rsid w:val="0056610F"/>
    <w:rsid w:val="00575BCA"/>
    <w:rsid w:val="005B0344"/>
    <w:rsid w:val="005B520E"/>
    <w:rsid w:val="005C51B4"/>
    <w:rsid w:val="005E2800"/>
    <w:rsid w:val="00605825"/>
    <w:rsid w:val="00645D22"/>
    <w:rsid w:val="00651A08"/>
    <w:rsid w:val="00654204"/>
    <w:rsid w:val="00670434"/>
    <w:rsid w:val="00677BC9"/>
    <w:rsid w:val="00696965"/>
    <w:rsid w:val="006A5D82"/>
    <w:rsid w:val="006B6B66"/>
    <w:rsid w:val="006F6D3D"/>
    <w:rsid w:val="00715BEA"/>
    <w:rsid w:val="00740EEA"/>
    <w:rsid w:val="00794804"/>
    <w:rsid w:val="007A5860"/>
    <w:rsid w:val="007B33F1"/>
    <w:rsid w:val="007B6DDA"/>
    <w:rsid w:val="007C0308"/>
    <w:rsid w:val="007C2FF2"/>
    <w:rsid w:val="007D6232"/>
    <w:rsid w:val="007F1F99"/>
    <w:rsid w:val="007F768F"/>
    <w:rsid w:val="0080791D"/>
    <w:rsid w:val="008147B5"/>
    <w:rsid w:val="008275E0"/>
    <w:rsid w:val="00836367"/>
    <w:rsid w:val="008423CF"/>
    <w:rsid w:val="00873603"/>
    <w:rsid w:val="00880834"/>
    <w:rsid w:val="008963C0"/>
    <w:rsid w:val="008A2C7D"/>
    <w:rsid w:val="008B6524"/>
    <w:rsid w:val="008C4B23"/>
    <w:rsid w:val="008F6E2C"/>
    <w:rsid w:val="009303D9"/>
    <w:rsid w:val="00933C64"/>
    <w:rsid w:val="009621C6"/>
    <w:rsid w:val="00972203"/>
    <w:rsid w:val="009F1D79"/>
    <w:rsid w:val="00A059B3"/>
    <w:rsid w:val="00AC0EA6"/>
    <w:rsid w:val="00AE3409"/>
    <w:rsid w:val="00B11A60"/>
    <w:rsid w:val="00B20F26"/>
    <w:rsid w:val="00B22613"/>
    <w:rsid w:val="00B36831"/>
    <w:rsid w:val="00B44A76"/>
    <w:rsid w:val="00B533FB"/>
    <w:rsid w:val="00B768D1"/>
    <w:rsid w:val="00BA1025"/>
    <w:rsid w:val="00BC3420"/>
    <w:rsid w:val="00BD670B"/>
    <w:rsid w:val="00BE7D3C"/>
    <w:rsid w:val="00BF5FF6"/>
    <w:rsid w:val="00C0207F"/>
    <w:rsid w:val="00C16117"/>
    <w:rsid w:val="00C3075A"/>
    <w:rsid w:val="00C35D67"/>
    <w:rsid w:val="00C41218"/>
    <w:rsid w:val="00C919A4"/>
    <w:rsid w:val="00CA4392"/>
    <w:rsid w:val="00CA7DF2"/>
    <w:rsid w:val="00CC393F"/>
    <w:rsid w:val="00D2176E"/>
    <w:rsid w:val="00D632BE"/>
    <w:rsid w:val="00D72D06"/>
    <w:rsid w:val="00D7522C"/>
    <w:rsid w:val="00D7536F"/>
    <w:rsid w:val="00D76668"/>
    <w:rsid w:val="00DA17F9"/>
    <w:rsid w:val="00E07383"/>
    <w:rsid w:val="00E165BC"/>
    <w:rsid w:val="00E26E39"/>
    <w:rsid w:val="00E410A0"/>
    <w:rsid w:val="00E61E12"/>
    <w:rsid w:val="00E7596C"/>
    <w:rsid w:val="00E878F2"/>
    <w:rsid w:val="00EC5279"/>
    <w:rsid w:val="00ED0149"/>
    <w:rsid w:val="00EF7DE3"/>
    <w:rsid w:val="00F03103"/>
    <w:rsid w:val="00F271DE"/>
    <w:rsid w:val="00F627DA"/>
    <w:rsid w:val="00F7288F"/>
    <w:rsid w:val="00F74B21"/>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4B21"/>
    <w:rPr>
      <w:color w:val="0563C1" w:themeColor="hyperlink"/>
      <w:u w:val="single"/>
    </w:rPr>
  </w:style>
  <w:style w:type="character" w:styleId="UnresolvedMention">
    <w:name w:val="Unresolved Mention"/>
    <w:basedOn w:val="DefaultParagraphFont"/>
    <w:uiPriority w:val="99"/>
    <w:semiHidden/>
    <w:unhideWhenUsed/>
    <w:rsid w:val="00F74B2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110</TotalTime>
  <Pages>4</Pages>
  <Words>2536</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Titi Changpoo</cp:lastModifiedBy>
  <cp:revision>24</cp:revision>
  <dcterms:created xsi:type="dcterms:W3CDTF">2026-03-19T14:17:00Z</dcterms:created>
  <dcterms:modified xsi:type="dcterms:W3CDTF">2026-03-19T17:44:00Z</dcterms:modified>
</cp:coreProperties>
</file>