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31BC6E45" w14:textId="18634393" w:rsidR="009303D9" w:rsidRPr="008B6524" w:rsidRDefault="00AC0EA6" w:rsidP="008B6524">
      <w:pPr>
        <w:pStyle w:val="papertitle"/>
        <w:spacing w:before="5pt" w:beforeAutospacing="1" w:after="5pt" w:afterAutospacing="1"/>
        <w:rPr>
          <w:kern w:val="48"/>
        </w:rPr>
      </w:pPr>
      <w:r>
        <w:rPr>
          <w:rFonts w:cs="Angsana New"/>
          <w:kern w:val="48"/>
          <w:szCs w:val="61"/>
          <w:lang w:bidi="th-TH"/>
        </w:rPr>
        <w:t>Formal Verification of Aircraft Turnaround Process Using Petri Net for Deadlock Detection and Liveness Analysis</w:t>
      </w:r>
    </w:p>
    <w:p w14:paraId="24DF2CD4" w14:textId="77777777" w:rsidR="009303D9" w:rsidRPr="008963C0" w:rsidRDefault="00D7522C" w:rsidP="008B6524">
      <w:pPr>
        <w:pStyle w:val="Author"/>
        <w:spacing w:before="5pt" w:beforeAutospacing="1" w:after="5pt" w:afterAutospacing="1"/>
        <w:rPr>
          <w:color w:val="FF0000"/>
          <w:sz w:val="16"/>
          <w:szCs w:val="16"/>
        </w:rPr>
      </w:pPr>
      <w:r>
        <w:rPr>
          <w:color w:val="FF0000"/>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FCCE042" w14:textId="648E93B4" w:rsidR="001A3B3D" w:rsidRPr="00F847A6" w:rsidRDefault="008963C0" w:rsidP="007B6DDA">
      <w:pPr>
        <w:pStyle w:val="Author"/>
        <w:spacing w:before="5pt" w:beforeAutospacing="1"/>
        <w:rPr>
          <w:sz w:val="18"/>
          <w:szCs w:val="18"/>
        </w:rPr>
      </w:pPr>
      <w:r>
        <w:rPr>
          <w:sz w:val="18"/>
          <w:szCs w:val="18"/>
        </w:rPr>
        <w:t>Titi Changpoo</w:t>
        <w:br/>
        <w:t>Dept. of Computer Engineering</w:t>
        <w:br/>
        <w:t>Chulalongkorn University</w:t>
      </w:r>
      <w:r>
        <w:rPr>
          <w:i/>
          <w:sz w:val="18"/>
          <w:szCs w:val="18"/>
        </w:rPr>
        <w:br/>
      </w:r>
      <w:r>
        <w:rPr>
          <w:sz w:val="18"/>
          <w:szCs w:val="18"/>
        </w:rPr>
        <w:t>Bangkok 10330, Thailand</w:t>
        <w:br/>
        <w:t xml:space="preserve">6770231021@student.chula.ac.th </w:t>
        <w:br w:type="column"/>
        <w:t>Nuengwong Tuaycharoen</w:t>
        <w:br/>
        <w:t>Dept. of Computer Engineering</w:t>
        <w:br/>
        <w:t>Chulalongkorn University</w:t>
      </w:r>
      <w:r>
        <w:rPr>
          <w:i/>
          <w:sz w:val="18"/>
          <w:szCs w:val="18"/>
        </w:rPr>
        <w:br/>
      </w:r>
      <w:r>
        <w:rPr>
          <w:sz w:val="18"/>
          <w:szCs w:val="18"/>
        </w:rPr>
        <w:t>Bangkok 10330, Thailand</w:t>
        <w:br/>
        <w:t>6770231021@student.chula.ac.th</w:t>
      </w:r>
    </w:p>
    <w:p w14:paraId="11C3FF66" w14:textId="1782BA08" w:rsidR="001A3B3D" w:rsidRPr="00F847A6" w:rsidRDefault="00F74B21" w:rsidP="00447BB9">
      <w:pPr>
        <w:pStyle w:val="Author"/>
        <w:spacing w:before="5pt" w:beforeAutospacing="1"/>
        <w:rPr>
          <w:sz w:val="18"/>
          <w:szCs w:val="18"/>
        </w:rPr>
      </w:pPr>
      <w:r>
        <w:rPr>
          <w:sz w:val="18"/>
          <w:szCs w:val="18"/>
        </w:rPr>
        <w:t xml:space="preserve"> </w:t>
        <w:br w:type="column"/>
        <w:t>Wiwat Vatanawood</w:t>
        <w:br/>
        <w:t>Dept. of Computer Engineering</w:t>
        <w:br/>
        <w:t>Chulalongkorn University</w:t>
      </w:r>
      <w:r>
        <w:rPr>
          <w:i/>
          <w:sz w:val="18"/>
          <w:szCs w:val="18"/>
        </w:rPr>
        <w:br/>
      </w:r>
      <w:r>
        <w:rPr>
          <w:sz w:val="18"/>
          <w:szCs w:val="18"/>
        </w:rPr>
        <w:t>Bangkok 10330, Thailand</w:t>
        <w:br/>
        <w:t>6770231021@student.chula.ac.th</w:t>
      </w:r>
    </w:p>
    <w:p w14:paraId="0316535E" w14:textId="40FCE430" w:rsidR="009F1D79" w:rsidRDefault="009F1D79" w:rsidP="00F74B21">
      <w:pPr>
        <w:pStyle w:val="Author"/>
        <w:spacing w:before="5pt" w:beforeAutospacing="1"/>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Pr="008963C0" w:rsidRDefault="009303D9" w:rsidP="00972203">
      <w:pPr>
        <w:pStyle w:val="Abstract"/>
      </w:pPr>
      <w:r>
        <w:rPr>
          <w:i/>
          <w:iCs/>
        </w:rPr>
        <w:t>Abstract</w:t>
      </w:r>
      <w:r>
        <w:t xml:space="preserve">—Aircraft turnaround is a time-critical concurrent process in civil aviation where multiple ground service teams operate simultaneously around a parked aircraft. Delays caused by resource conflicts or process deadlocks directly impact airline on-time performance (OTP) and may cascade across flight schedules. This paper presents a formal verification approach for modelling the aircraft turnaround process using Time Petri Nets with quantitative worker pool resources. We extend the standard binary resource token idiom to N-token worker pools in which arc weights determine the number of workers consumed per task, and task duration is encoded as a firing interval on a fast (full crew) or slow (minimum crew) transition variant. Path separation via distinct activity places ensures that completion transitions apply the correct temporal interval. Using the TINA toolbox, we perform state space analysis to detect potential deadlocks and verify safety and liveness properties expressed in LTL. Our analysis of a two-aircraft scenario sharing five worker pools reveals circular waiting deadlocks under resource contention, which are resolved via a GSE Permit control place. The results demonstrate that formal verification using Time Petri Nets with worker pools provides rigorous guarantees about the correctness, safety, and temporal behaviour of concurrent ground handling operations.</w:t>
      </w:r>
    </w:p>
    <w:p w14:paraId="58B10678" w14:textId="26B82757" w:rsidR="009303D9" w:rsidRPr="004D72B5" w:rsidRDefault="004D72B5" w:rsidP="00972203">
      <w:pPr>
        <w:pStyle w:val="Keywords"/>
      </w:pPr>
      <w:r>
        <w:t>Keywords—Formal Verification, Petri Net, Aircraft Turnaround, Deadlock Detection, Liveness Analysis, Model Checking, LTL, Ground Handling</w:t>
      </w:r>
    </w:p>
    <w:p w14:paraId="1A521F3C" w14:textId="21840B54" w:rsidR="009303D9" w:rsidRPr="00D632BE" w:rsidRDefault="009303D9" w:rsidP="006B6B66">
      <w:pPr>
        <w:pStyle w:val="Heading1"/>
      </w:pPr>
      <w:r>
        <w:t>Introduction</w:t>
      </w:r>
    </w:p>
    <w:p w14:paraId="5B84FB04" w14:textId="2FCCFC04" w:rsidR="009303D9" w:rsidRDefault="00B533FB" w:rsidP="00E7596C">
      <w:pPr>
        <w:pStyle w:val="BodyText"/>
      </w:pPr>
      <w:r>
        <w:t xml:space="preserve">The aircraft turnaround process refers to the set of operations performed on an </w:t>
      </w:r>
      <w:r>
        <w:rPr>
          <w:rFonts w:cs="Angsana New"/>
          <w:szCs w:val="25"/>
          <w:lang w:val="en-US" w:bidi="th-TH"/>
        </w:rPr>
        <w:t>aircraft from the moment it lands at an airport until it departs for its next flight.</w:t>
      </w:r>
      <w:r>
        <w:t xml:space="preserve"> </w:t>
      </w:r>
      <w:r>
        <w:rPr>
          <w:color w:val="000000" w:themeColor="text1"/>
        </w:rPr>
        <w:t xml:space="preserve">This process is a critical determinant of airline </w:t>
      </w:r>
      <w:r>
        <w:rPr>
          <w:rFonts w:cs="Angsana New"/>
          <w:color w:val="000000" w:themeColor="text1"/>
          <w:szCs w:val="25"/>
          <w:lang w:val="en-US" w:bidi="th-TH"/>
        </w:rPr>
        <w:t>on time performance (OTP) and involves the coordination of multiple stakeholders, including airport authorities (e.g., Airport of Thailand</w:t>
      </w:r>
      <w:r>
        <w:t>: AOT), air navigation service providers (e.g., AEROTHAI), and individual airline ground handling teams [1]</w:t>
      </w:r>
    </w:p>
    <w:p w14:paraId="46337786" w14:textId="3E671FC9" w:rsidR="00280DF7" w:rsidRDefault="00280DF7" w:rsidP="00E7596C">
      <w:pPr>
        <w:pStyle w:val="BodyText"/>
        <w:rPr>
          <w:rFonts w:cs="Angsana New"/>
          <w:szCs w:val="25"/>
          <w:lang w:val="en-US" w:bidi="th-TH"/>
        </w:rPr>
      </w:pPr>
      <w:r>
        <w:t>The turnaround process</w:t>
      </w:r>
      <w:r>
        <w:rPr>
          <w:rFonts w:hint="cs"/>
          <w:cs/>
          <w:lang w:bidi="th-TH"/>
        </w:rPr>
        <w:t xml:space="preserve"> </w:t>
      </w:r>
      <w:r>
        <w:rPr>
          <w:rFonts w:cs="Angsana New"/>
          <w:szCs w:val="25"/>
          <w:lang w:val="en-US" w:bidi="th-TH"/>
        </w:rPr>
        <w:t>can be divided into three main phases: (1) Arrival and Docking, where the aircraft lands, taxis to its assigned gate, and passengers disembark; (2) Ground Handling, where multiple service teams work in parallel to prepare the aircraft for its next flight; and (3) Departure Preparation, where weight and balance calculations are completed, passengers board, and the aircraft pushes back for takeoff [2]</w:t>
      </w:r>
    </w:p>
    <w:p w14:paraId="4D5B830D" w14:textId="10D54AD6" w:rsidR="00156D5B" w:rsidRDefault="00156D5B" w:rsidP="00E7596C">
      <w:pPr>
        <w:pStyle w:val="BodyText"/>
      </w:pPr>
      <w:r>
        <w:rPr>
          <w:rFonts w:cs="Angsana New"/>
          <w:szCs w:val="25"/>
          <w:lang w:val="en-US" w:bidi="th-TH"/>
        </w:rPr>
        <w:t>The ground handling phase is particularly challenging because it involves concurrent operations by multiple teams</w:t>
      </w:r>
      <w:r>
        <w:t>—all sharing limited resources such as apron space and ground and ground support equipment (GSE) [8][11], but these approaches cannot provide formal guarantees about deadlock or safety property correctness under all possible resource contention scenarios. When multiple concurrent processes compete for shared resources, the risk of deadlock arises: a situation where every process is waiting for a resource held by another, resulting in a complete standstill [3]. For example, a fuel truck may block the path of a catering truck, which in turn blocks a baggage cart, which blocks the fuel truck, creating a circular wait condition.</w:t>
      </w:r>
    </w:p>
    <w:p w14:paraId="703CE1A0" w14:textId="05295853" w:rsidR="00DA17F9" w:rsidRDefault="00DA17F9" w:rsidP="00E7596C">
      <w:pPr>
        <w:pStyle w:val="BodyText"/>
        <w:rPr>
          <w:rFonts w:cs="Angsana New"/>
          <w:szCs w:val="25"/>
          <w:lang w:val="en-US" w:bidi="th-TH"/>
        </w:rPr>
      </w:pPr>
      <w:r>
        <w:rPr>
          <w:rFonts w:cs="Angsana New"/>
          <w:szCs w:val="25"/>
          <w:lang w:val="en-US" w:bidi="th-TH"/>
        </w:rPr>
        <w:t>Beyond deadlock, safety constraints impose strict ordering requirements. For instance, pushback must not occur while refueling is in progress, and boarding can only begin after all ground handling tasks are completed [4]. Violations of these constraints can lead to serious safety incidents.</w:t>
      </w:r>
    </w:p>
    <w:p w14:paraId="6E003DF2" w14:textId="5C03D16B" w:rsidR="004A71C3" w:rsidRDefault="004A71C3" w:rsidP="00E7596C">
      <w:pPr>
        <w:pStyle w:val="BodyText"/>
        <w:rPr>
          <w:rFonts w:cs="Angsana New"/>
          <w:szCs w:val="25"/>
          <w:lang w:val="en-US" w:bidi="th-TH"/>
        </w:rPr>
      </w:pPr>
      <w:r>
        <w:rPr>
          <w:rFonts w:cs="Angsana New"/>
          <w:szCs w:val="25"/>
          <w:lang w:val="en-US" w:bidi="th-TH"/>
        </w:rPr>
        <w:t>Currently, turnaround operations are managed primarily through Standard Operating Procedures (SOPs) written in natural language, which may be ambiguous or incomplete, particularly in exceptional scenarios such as GSE malfunctions [5]. This motivates the application of formal methods to provide mathematically rigorous guarantees about system behavior.</w:t>
      </w:r>
    </w:p>
    <w:p w14:paraId="5023F157" w14:textId="7B5AFCB5" w:rsidR="002A6222" w:rsidRDefault="002A6222" w:rsidP="00E7596C">
      <w:pPr>
        <w:pStyle w:val="BodyText"/>
        <w:rPr>
          <w:rFonts w:cs="Angsana New"/>
          <w:szCs w:val="25"/>
          <w:lang w:val="en-US" w:bidi="th-TH"/>
        </w:rPr>
      </w:pPr>
      <w:r>
        <w:rPr>
          <w:rFonts w:cs="Angsana New"/>
          <w:szCs w:val="25"/>
          <w:lang w:val="en-US" w:bidi="th-TH"/>
        </w:rPr>
        <w:t>In this paper, we apply formal verification using Place/Transition Petri Nets to model the aircraft turnaround process. We use the TINA tool to perform state space analysis for deadlock detection and LTL model checking to verify safety and liveness properties. Our model considers three aircraft sharing three gate, one runway, and limited GSE resources, reflecting a realistic constrained scenario.</w:t>
      </w:r>
    </w:p>
    <w:p>
      <w:pPr>
        <w:pStyle w:val="Heading1"/>
      </w:pPr>
      <w:r>
        <w:t>Related Work</w:t>
      </w:r>
    </w:p>
    <w:p>
      <w:pPr>
        <w:pStyle w:val="Heading2"/>
      </w:pPr>
      <w:r>
        <w:t>Formal Verification in Aviation Systems</w:t>
      </w:r>
    </w:p>
    <w:p>
      <w:pPr>
        <w:pStyle w:val="BodyText"/>
      </w:pPr>
      <w:r>
        <w:t xml:space="preserve">Formal verification has a long history in safety-critical aviation systems. Model checking techniques have been applied to avionics software, air traffic management protocols, and flight control systems [6]. The aerospace industry has adopted formal methods standards such as DO-178C, which recognises formal methods as an acceptable means of compliance for airborne software certification [7]. Previous work has applied temporal logic model checking to verify properties of air traffic control procedures, including separation assurance and conflict detection algorithms. However, relatively little attention has been given to ground-side operations such as the turnaround process, despite its significant impact on operational efficiency and safety.</w:t>
      </w:r>
    </w:p>
    <w:p>
      <w:pPr>
        <w:pStyle w:val="Heading2"/>
      </w:pPr>
      <w:r>
        <w:t>Aircraft Ground Handling and GSE Management</w:t>
      </w:r>
    </w:p>
    <w:p>
      <w:pPr>
        <w:pStyle w:val="BodyText"/>
      </w:pPr>
      <w:r>
        <w:t xml:space="preserve">Several studies have analysed the turnaround process using quantitative methods. Kierzkowski et al. [11] applied PERT-COST methods to model ground handling bottlenecks and resource variability across operational scenarios, identifying refueling and baggage handling as primary bottleneck activities. Saggar et al. [8] proposed simulation-based optimisation of airport GSE management to improve turnaround performance, demonstrating that resource scheduling policies for GSE vehicles directly influence overall turnaround time. Deschamps et al. [15] studied aircraft turnaround using simulation to estimate critical paths and survival functions, providing statistical evidence for task duration variability under realistic operational conditions. While these approaches provide valuable operational insights, they cannot formally guarantee deadlock-freedom or verify safety properties under all possible execution sequences.</w:t>
      </w:r>
    </w:p>
    <w:p>
      <w:pPr>
        <w:pStyle w:val="Heading2"/>
      </w:pPr>
      <w:r>
        <w:t>Petri Nets for Concurrent System Modelling</w:t>
      </w:r>
    </w:p>
    <w:p>
      <w:pPr>
        <w:pStyle w:val="BodyText"/>
      </w:pPr>
      <w:r>
        <w:t xml:space="preserve">Petri Nets, introduced by Carl Adam Petri in 1962, are a well-established mathematical formalism for modelling concurrent, asynchronous, and distributed systems [9]. Place/Transition (P/T) Nets are particularly suitable for modelling systems with shared resources, synchronisation requirements, and parallel activities. Petri Nets have been applied to transportation and logistics domains including manufacturing systems, railway signalling, and port operations [10]. In the aviation context, Petri Nets have been used to model baggage handling systems [12]. Time Petri Nets (TPN) extend this formalism by associating firing intervals [a, b] with transitions, enabling quantitative temporal analysis alongside structural verification [14]. Our work extends this line of research by modelling the complete turnaround process with worker pool resources and timed transitions that reflect realistic workforce constraints.</w:t>
      </w:r>
    </w:p>
    <w:p>
      <w:pPr>
        <w:pStyle w:val="Heading2"/>
      </w:pPr>
      <w:r>
        <w:t>Deadlock and Liveness Analysis</w:t>
      </w:r>
    </w:p>
    <w:p>
      <w:pPr>
        <w:pStyle w:val="BodyText"/>
      </w:pPr>
      <w:r>
        <w:t xml:space="preserve">Deadlock detection and prevention in Petri Nets is a well-studied problem. Ezpeleta et al. [13] proposed Petri Net-based deadlock prevention policies for flexible manufacturing systems with shared resources. Feng et al. [16] developed liveness analysis and deadlock control for automated manufacturing systems with multiple resource requirements. Uzam et al. [17] conducted a comprehensive study of deadlock and livelock detection using reachability graph analysis in TINA, demonstrating that TINA's state space exploration can reliably identify dead markings and livelock cycles in complex Petri Net models. The TINA toolbox provides comprehensive support for both structural and behavioural analysis, including reachability graph construction and LTL model checking [14]. This paper adopts TINA as the verification backend and extends prior deadlock-prevention approaches to the aircraft turnaround domain, incorporating worker pool resource allocation and timed transition intervals.</w:t>
      </w:r>
    </w:p>
    <w:p>
      <w:pPr>
        <w:pStyle w:val="Heading1"/>
      </w:pPr>
      <w:r>
        <w:t>Background and Preliminaries</w:t>
      </w:r>
    </w:p>
    <w:p>
      <w:pPr>
        <w:pStyle w:val="Heading2"/>
      </w:pPr>
      <w:r>
        <w:t>Basic Elements of Petri Nets</w:t>
      </w:r>
    </w:p>
    <w:p>
      <w:pPr>
        <w:pStyle w:val="BodyText"/>
      </w:pPr>
      <w:r>
        <w:t xml:space="preserve">A Petri Net consists of three basic elements: places, transitions, and arcs. A place, drawn as a circle, represents a condition or state within the system. The presence of a token inside a place indicates that the corresponding condition is currently satisfied. A place may hold multiple tokens, in which case the token count represents a quantity, such as the number of available resources or the number of tasks that may proceed concurrently.</w:t>
      </w:r>
    </w:p>
    <w:p>
      <w:pPr>
        <w:pStyle w:val="BodyText"/>
      </w:pPr>
      <w:r>
        <w:t xml:space="preserve">A transition, drawn as a rectangle, represents an event or action that changes the state of the system. A transition becomes enabled when all of its input places hold a sufficient number of tokens. Once enabled, the transition may fire: it removes tokens from its input places and deposits tokens into its output places, producing a new system state.</w:t>
      </w:r>
    </w:p>
    <w:p>
      <w:pPr>
        <w:pStyle w:val="BodyText"/>
      </w:pPr>
      <w:r>
        <w:t xml:space="preserve">Arcs connect places to transitions and transitions to places, defining the flow of tokens through the net. Each arc carries a weight W that specifies how many tokens must be present (for input arcs) or will be produced (for output arcs) when the transition fires. The default weight is 1. A higher arc weight W = k means that k tokens are consumed or produced in a single firing, enabling compact representation of bulk resource acquisition or release.</w:t>
      </w:r>
    </w:p>
    <w:p>
      <w:pPr>
        <w:pStyle w:val="Heading2"/>
      </w:pPr>
      <w:r>
        <w:t>Place/Transition Petri Net: Formal Definition</w:t>
      </w:r>
    </w:p>
    <w:p>
      <w:pPr>
        <w:pStyle w:val="BodyText"/>
      </w:pPr>
      <w:r>
        <w:t xml:space="preserve">A Place/Transition Petri Net is a 4-tuple PN = (P, T, F, W) where P is a finite set of places, T is a finite set of transitions (P ∩ T = ∅), F ⊆ (P×T) ∪ (T×P) is a set of directed arcs, and W: F → ℕ⁺ is a weight function. A marking M: P → ℕ₀ assigns a non-negative integer (token count) to each place and represents the current system state. The initial marking is denoted M₀.</w:t>
      </w:r>
    </w:p>
    <w:p>
      <w:pPr>
        <w:pStyle w:val="BodyText"/>
      </w:pPr>
      <w:r>
        <w:t xml:space="preserve">A transition t is enabled under marking M if every input place p ∈ •t holds at least W(p,t) tokens. When t fires, W(p,t) tokens are removed from each input place p ∈ •t and W(t,p) tokens are added to each output place p ∈ t•, producing a new marking M'.</w:t>
      </w:r>
    </w:p>
    <w:p>
      <w:pPr>
        <w:pStyle w:val="Heading2"/>
      </w:pPr>
      <w:r>
        <w:t>Time Petri Net</w:t>
      </w:r>
    </w:p>
    <w:p>
      <w:pPr>
        <w:pStyle w:val="BodyText"/>
      </w:pPr>
      <w:r>
        <w:t xml:space="preserve">A Time Petri Net (TPN) extends P/T nets by associating a static firing interval [EFT, LFT] with each transition t, where EFT (earliest firing time) and LFT (latest firing time) define the range within which t must fire once enabled. This extension enables quantitative temporal analysis while preserving the structural verification capabilities of standard Petri Nets. In our model, time intervals on ground handling transitions directly encode workforce-dependent task durations: a transition consuming more worker tokens corresponds to a shorter firing interval, reflecting faster task completion.</w:t>
      </w:r>
    </w:p>
    <w:p>
      <w:pPr>
        <w:pStyle w:val="Heading2"/>
      </w:pPr>
      <w:r>
        <w:t>Worker Pool Resource Pattern</w:t>
      </w:r>
    </w:p>
    <w:p>
      <w:pPr>
        <w:pStyle w:val="BodyText"/>
      </w:pPr>
      <w:r>
        <w:t xml:space="preserve">In the standard P/T Net resource idiom, a shared resource is represented by a place whose token count indicates resource availability. To acquire the resource, a transition consumes tokens from the resource place; to release it, the corresponding completion transition produces tokens back to that place. We extend this idiom to model worker pools by using arc weights W &gt; 1. A worker pool place p_workers with initial marking N represents N available workers. A transition t_fast with W(p_workers, t_fast) = k acquires k workers simultaneously and is enabled only when the pool holds at least k tokens. The corresponding completion transition returns exactly k tokens to the pool. This pattern naturally enforces mutual exclusion under resource scarcity without inhibitor arcs, preserving the decidability properties required for exhaustive state space analysis.</w:t>
      </w:r>
    </w:p>
    <w:p>
      <w:pPr>
        <w:pStyle w:val="Heading2"/>
      </w:pPr>
      <w:r>
        <w:t>Key Properties</w:t>
      </w:r>
    </w:p>
    <w:p>
      <w:pPr>
        <w:pStyle w:val="BodyText"/>
      </w:pPr>
      <w:r>
        <w:t xml:space="preserve">A marking M is a dead marking (deadlock) if no transition is enabled under M. A Petri Net is deadlock-free if no reachable marking (other than an intended terminal state) is a dead marking. A transition t is live (L4-live) if from every reachable marking, there exists a firing sequence that enables t. For our purposes, we require at minimum L1-liveness for all ground handling transitions, ensuring every process can complete. A place p is k-bounded if M(p) ≤ k for all M ∈ R(M₀). A bounded Petri Net has a finite reachability graph, enabling exhaustive state space analysis in TINA.</w:t>
      </w:r>
    </w:p>
    <w:p>
      <w:pPr>
        <w:pStyle w:val="Heading1"/>
      </w:pPr>
      <w:r>
        <w:t>Petri Net Model of Aircraft Turnaround</w:t>
      </w:r>
    </w:p>
    <w:p>
      <w:pPr>
        <w:pStyle w:val="Heading2"/>
      </w:pPr>
      <w:r>
        <w:t>System Overview</w:t>
      </w:r>
    </w:p>
    <w:p>
      <w:pPr>
        <w:pStyle w:val="BodyText"/>
      </w:pPr>
      <w:r>
        <w:t xml:space="preserve">We model an airport scenario comprising two aircraft (A1, A2) sharing one gate, one runway, and five pools of ground service workers: an unloading team, a cleaning team, a fueling team, a catering team, and a maintenance team. Each aircraft progresses through three operational phases as summarised in Table I.</w:t>
      </w:r>
    </w:p>
    <w:p>
      <w:pPr>
        <w:pStyle w:val="tablehead"/>
      </w:pPr>
      <w:r>
        <w:t xml:space="preserve">TABLE I. Aircraft Turnaround Phases</w:t>
      </w:r>
    </w:p>
    <w:tbl>
      <w:tblPr>
        <w:tblW w:w="8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1800"/>
        <w:gridCol w:w="2600"/>
        <w:gridCol w:w="3600"/>
      </w:tblGrid>
      <w:tr>
        <w:tc>
          <w:tcPr>
            <w:tcW w:w="1800" w:type="dxa"/>
            <w:shading w:val="clear" w:color="auto" w:fill="D5E8F0"/>
            <w:tcMar>
              <w:top w:w="80" w:type="dxa"/>
              <w:bottom w:w="80" w:type="dxa"/>
              <w:left w:w="120" w:type="dxa"/>
              <w:right w:w="120" w:type="dxa"/>
            </w:tcMar>
          </w:tcPr>
          <w:p>
            <w:pPr>
              <w:pStyle w:val="tablecolhead"/>
            </w:pPr>
            <w:r>
              <w:t xml:space="preserve">Phase</w:t>
            </w:r>
          </w:p>
        </w:tc>
        <w:tc>
          <w:tcPr>
            <w:tcW w:w="2600" w:type="dxa"/>
            <w:shading w:val="clear" w:color="auto" w:fill="D5E8F0"/>
            <w:tcMar>
              <w:top w:w="80" w:type="dxa"/>
              <w:bottom w:w="80" w:type="dxa"/>
              <w:left w:w="120" w:type="dxa"/>
              <w:right w:w="120" w:type="dxa"/>
            </w:tcMar>
          </w:tcPr>
          <w:p>
            <w:pPr>
              <w:pStyle w:val="tablecolhead"/>
            </w:pPr>
            <w:r>
              <w:t xml:space="preserve">Key States</w:t>
            </w:r>
          </w:p>
        </w:tc>
        <w:tc>
          <w:tcPr>
            <w:tcW w:w="3600" w:type="dxa"/>
            <w:shading w:val="clear" w:color="auto" w:fill="D5E8F0"/>
            <w:tcMar>
              <w:top w:w="80" w:type="dxa"/>
              <w:bottom w:w="80" w:type="dxa"/>
              <w:left w:w="120" w:type="dxa"/>
              <w:right w:w="120" w:type="dxa"/>
            </w:tcMar>
          </w:tcPr>
          <w:p>
            <w:pPr>
              <w:pStyle w:val="tablecolhead"/>
            </w:pPr>
            <w:r>
              <w:t xml:space="preserve">Description</w:t>
            </w:r>
          </w:p>
        </w:tc>
      </w:tr>
      <w:tr>
        <w:tc>
          <w:tcPr>
            <w:tcW w:w="1800" w:type="dxa"/>
            <w:tcMar>
              <w:top w:w="80" w:type="dxa"/>
              <w:bottom w:w="80" w:type="dxa"/>
              <w:left w:w="120" w:type="dxa"/>
              <w:right w:w="120" w:type="dxa"/>
            </w:tcMar>
          </w:tcPr>
          <w:p>
            <w:pPr>
              <w:pStyle w:val="tablecopy"/>
            </w:pPr>
            <w:r>
              <w:t xml:space="preserve">1. Arrival</w:t>
            </w:r>
          </w:p>
        </w:tc>
        <w:tc>
          <w:tcPr>
            <w:tcW w:w="2600" w:type="dxa"/>
            <w:tcMar>
              <w:top w:w="80" w:type="dxa"/>
              <w:bottom w:w="80" w:type="dxa"/>
              <w:left w:w="120" w:type="dxa"/>
              <w:right w:w="120" w:type="dxa"/>
            </w:tcMar>
          </w:tcPr>
          <w:p>
            <w:pPr>
              <w:pStyle w:val="tablecopy"/>
            </w:pPr>
            <w:r>
              <w:t xml:space="preserve">Landing → Taxi → Dock → Depart</w:t>
            </w:r>
          </w:p>
        </w:tc>
        <w:tc>
          <w:tcPr>
            <w:tcW w:w="3600" w:type="dxa"/>
            <w:tcMar>
              <w:top w:w="80" w:type="dxa"/>
              <w:bottom w:w="80" w:type="dxa"/>
              <w:left w:w="120" w:type="dxa"/>
              <w:right w:w="120" w:type="dxa"/>
            </w:tcMar>
          </w:tcPr>
          <w:p>
            <w:pPr>
              <w:pStyle w:val="tablecopy"/>
            </w:pPr>
            <w:r>
              <w:t xml:space="preserve">Aircraft arrives, taxis to gate, passengers deplane</w:t>
            </w:r>
          </w:p>
        </w:tc>
      </w:tr>
      <w:tr>
        <w:tc>
          <w:tcPr>
            <w:tcW w:w="1800" w:type="dxa"/>
            <w:tcMar>
              <w:top w:w="80" w:type="dxa"/>
              <w:bottom w:w="80" w:type="dxa"/>
              <w:left w:w="120" w:type="dxa"/>
              <w:right w:w="120" w:type="dxa"/>
            </w:tcMar>
          </w:tcPr>
          <w:p>
            <w:pPr>
              <w:pStyle w:val="tablecopy"/>
            </w:pPr>
            <w:r>
              <w:t xml:space="preserve">2. Ground Handling</w:t>
            </w:r>
          </w:p>
        </w:tc>
        <w:tc>
          <w:tcPr>
            <w:tcW w:w="2600" w:type="dxa"/>
            <w:tcMar>
              <w:top w:w="80" w:type="dxa"/>
              <w:bottom w:w="80" w:type="dxa"/>
              <w:left w:w="120" w:type="dxa"/>
              <w:right w:w="120" w:type="dxa"/>
            </w:tcMar>
          </w:tcPr>
          <w:p>
            <w:pPr>
              <w:pStyle w:val="tablecopy"/>
            </w:pPr>
            <w:r>
              <w:t xml:space="preserve">5 parallel tasks (concurrent)</w:t>
            </w:r>
          </w:p>
        </w:tc>
        <w:tc>
          <w:tcPr>
            <w:tcW w:w="3600" w:type="dxa"/>
            <w:tcMar>
              <w:top w:w="80" w:type="dxa"/>
              <w:bottom w:w="80" w:type="dxa"/>
              <w:left w:w="120" w:type="dxa"/>
              <w:right w:w="120" w:type="dxa"/>
            </w:tcMar>
          </w:tcPr>
          <w:p>
            <w:pPr>
              <w:pStyle w:val="tablecopy"/>
            </w:pPr>
            <w:r>
              <w:t xml:space="preserve">Refueling, catering, cleaning, unloading, maintenance</w:t>
            </w:r>
          </w:p>
        </w:tc>
      </w:tr>
      <w:tr>
        <w:tc>
          <w:tcPr>
            <w:tcW w:w="1800" w:type="dxa"/>
            <w:tcMar>
              <w:top w:w="80" w:type="dxa"/>
              <w:bottom w:w="80" w:type="dxa"/>
              <w:left w:w="120" w:type="dxa"/>
              <w:right w:w="120" w:type="dxa"/>
            </w:tcMar>
          </w:tcPr>
          <w:p>
            <w:pPr>
              <w:pStyle w:val="tablecopy"/>
            </w:pPr>
            <w:r>
              <w:t xml:space="preserve">3. Departure</w:t>
            </w:r>
          </w:p>
        </w:tc>
        <w:tc>
          <w:tcPr>
            <w:tcW w:w="2600" w:type="dxa"/>
            <w:tcMar>
              <w:top w:w="80" w:type="dxa"/>
              <w:bottom w:w="80" w:type="dxa"/>
              <w:left w:w="120" w:type="dxa"/>
              <w:right w:w="120" w:type="dxa"/>
            </w:tcMar>
          </w:tcPr>
          <w:p>
            <w:pPr>
              <w:pStyle w:val="tablecopy"/>
            </w:pPr>
            <w:r>
              <w:t xml:space="preserve">W&amp;B → Board → Pushback → Takeoff</w:t>
            </w:r>
          </w:p>
        </w:tc>
        <w:tc>
          <w:tcPr>
            <w:tcW w:w="3600" w:type="dxa"/>
            <w:tcMar>
              <w:top w:w="80" w:type="dxa"/>
              <w:bottom w:w="80" w:type="dxa"/>
              <w:left w:w="120" w:type="dxa"/>
              <w:right w:w="120" w:type="dxa"/>
            </w:tcMar>
          </w:tcPr>
          <w:p>
            <w:pPr>
              <w:pStyle w:val="tablecopy"/>
            </w:pPr>
            <w:r>
              <w:t xml:space="preserve">Preparation complete, aircraft departs</w:t>
            </w:r>
          </w:p>
        </w:tc>
      </w:tr>
    </w:tbl>
    <w:p>
      <w:pPr>
        <w:pStyle w:val="Heading2"/>
      </w:pPr>
      <w:r>
        <w:t>Worker Pool Design</w:t>
      </w:r>
    </w:p>
    <w:p>
      <w:pPr>
        <w:pStyle w:val="BodyText"/>
      </w:pPr>
      <w:r>
        <w:t xml:space="preserve">A central modelling contribution of this work is the replacement of binary team tokens with quantitative worker pool places. Each ground service team is represented by a place p_workersᵟ with an initial marking equal to the team size Nᵟ. Two task transitions are defined per service type: a fast transition t_fast that consumes all Nᵟ workers and fires within the interval [EFT_f, LFT_f], and a slow transition t_slow that consumes only W_min workers (the minimum crew required) and fires within [EFT_s, LFT_s] &gt; [EFT_f, LFT_f].</w:t>
      </w:r>
    </w:p>
    <w:p>
      <w:pPr>
        <w:pStyle w:val="BodyText"/>
      </w:pPr>
      <w:r>
        <w:t xml:space="preserve">Critically, path separation is enforced by distinct activity places: p_task_fast receives a token only when t_fast fires, while p_task_slow receives a token only when t_slow fires. The corresponding end transitions e_task_fast and e_task_slow consume exclusively from their respective activity places. This structural separation ensures that the firing interval applied at completion accurately reflects the workforce that was allocated at the start of the task, resolving the ambiguity that would arise if both paths converged on a single activity place.</w:t>
      </w:r>
    </w:p>
    <w:p>
      <w:pPr>
        <w:pStyle w:val="Heading2"/>
      </w:pPr>
      <w:r>
        <w:t>Worker Pool Parametrisation</w:t>
      </w:r>
    </w:p>
    <w:p>
      <w:pPr>
        <w:pStyle w:val="BodyText"/>
      </w:pPr>
      <w:r>
        <w:t xml:space="preserve">Table II presents the worker pool parameters for each ground service. The fast transition interval is derived from the scenario in which the full team is deployed, while the slow interval reflects a minimum-crew deployment. These values are informed by operational benchmarks from the literature [8][11][15].</w:t>
      </w:r>
    </w:p>
    <w:p>
      <w:pPr>
        <w:pStyle w:val="tablehead"/>
      </w:pPr>
      <w:r>
        <w:t xml:space="preserve">TABLE II. Worker Pool Parameters per Ground Service</w:t>
      </w:r>
    </w:p>
    <w:tbl>
      <w:tblPr>
        <w:tblW w:w="64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1200"/>
        <w:gridCol w:w="900"/>
        <w:gridCol w:w="900"/>
        <w:gridCol w:w="1200"/>
        <w:gridCol w:w="900"/>
        <w:gridCol w:w="1300"/>
      </w:tblGrid>
      <w:tr>
        <w:tc>
          <w:tcPr>
            <w:tcW w:w="1200" w:type="dxa"/>
            <w:shading w:val="clear" w:color="auto" w:fill="D5E8F0"/>
            <w:tcMar>
              <w:top w:w="80" w:type="dxa"/>
              <w:bottom w:w="80" w:type="dxa"/>
              <w:left w:w="120" w:type="dxa"/>
              <w:right w:w="120" w:type="dxa"/>
            </w:tcMar>
          </w:tcPr>
          <w:p>
            <w:pPr>
              <w:pStyle w:val="tablecolhead"/>
            </w:pPr>
            <w:r>
              <w:t xml:space="preserve">Service</w:t>
            </w:r>
          </w:p>
        </w:tc>
        <w:tc>
          <w:tcPr>
            <w:tcW w:w="900" w:type="dxa"/>
            <w:shading w:val="clear" w:color="auto" w:fill="D5E8F0"/>
            <w:tcMar>
              <w:top w:w="80" w:type="dxa"/>
              <w:bottom w:w="80" w:type="dxa"/>
              <w:left w:w="120" w:type="dxa"/>
              <w:right w:w="120" w:type="dxa"/>
            </w:tcMar>
          </w:tcPr>
          <w:p>
            <w:pPr>
              <w:pStyle w:val="tablecolhead"/>
            </w:pPr>
            <w:r>
              <w:t xml:space="preserve">Pool Size (N)</w:t>
            </w:r>
          </w:p>
        </w:tc>
        <w:tc>
          <w:tcPr>
            <w:tcW w:w="900" w:type="dxa"/>
            <w:shading w:val="clear" w:color="auto" w:fill="D5E8F0"/>
            <w:tcMar>
              <w:top w:w="80" w:type="dxa"/>
              <w:bottom w:w="80" w:type="dxa"/>
              <w:left w:w="120" w:type="dxa"/>
              <w:right w:w="120" w:type="dxa"/>
            </w:tcMar>
          </w:tcPr>
          <w:p>
            <w:pPr>
              <w:pStyle w:val="tablecolhead"/>
            </w:pPr>
            <w:r>
              <w:t xml:space="preserve">Fast crew (w)</w:t>
            </w:r>
          </w:p>
        </w:tc>
        <w:tc>
          <w:tcPr>
            <w:tcW w:w="1200" w:type="dxa"/>
            <w:shading w:val="clear" w:color="auto" w:fill="D5E8F0"/>
            <w:tcMar>
              <w:top w:w="80" w:type="dxa"/>
              <w:bottom w:w="80" w:type="dxa"/>
              <w:left w:w="120" w:type="dxa"/>
              <w:right w:w="120" w:type="dxa"/>
            </w:tcMar>
          </w:tcPr>
          <w:p>
            <w:pPr>
              <w:pStyle w:val="tablecolhead"/>
            </w:pPr>
            <w:r>
              <w:t xml:space="preserve">Fast interval</w:t>
            </w:r>
          </w:p>
        </w:tc>
        <w:tc>
          <w:tcPr>
            <w:tcW w:w="900" w:type="dxa"/>
            <w:shading w:val="clear" w:color="auto" w:fill="D5E8F0"/>
            <w:tcMar>
              <w:top w:w="80" w:type="dxa"/>
              <w:bottom w:w="80" w:type="dxa"/>
              <w:left w:w="120" w:type="dxa"/>
              <w:right w:w="120" w:type="dxa"/>
            </w:tcMar>
          </w:tcPr>
          <w:p>
            <w:pPr>
              <w:pStyle w:val="tablecolhead"/>
            </w:pPr>
            <w:r>
              <w:t xml:space="preserve">Slow crew (w)</w:t>
            </w:r>
          </w:p>
        </w:tc>
        <w:tc>
          <w:tcPr>
            <w:tcW w:w="1300" w:type="dxa"/>
            <w:shading w:val="clear" w:color="auto" w:fill="D5E8F0"/>
            <w:tcMar>
              <w:top w:w="80" w:type="dxa"/>
              <w:bottom w:w="80" w:type="dxa"/>
              <w:left w:w="120" w:type="dxa"/>
              <w:right w:w="120" w:type="dxa"/>
            </w:tcMar>
          </w:tcPr>
          <w:p>
            <w:pPr>
              <w:pStyle w:val="tablecolhead"/>
            </w:pPr>
            <w:r>
              <w:t xml:space="preserve">Slow interval</w:t>
            </w:r>
          </w:p>
        </w:tc>
      </w:tr>
      <w:tr>
        <w:tc>
          <w:tcPr>
            <w:tcW w:w="1200" w:type="dxa"/>
            <w:tcMar>
              <w:top w:w="80" w:type="dxa"/>
              <w:bottom w:w="80" w:type="dxa"/>
              <w:left w:w="120" w:type="dxa"/>
              <w:right w:w="120" w:type="dxa"/>
            </w:tcMar>
          </w:tcPr>
          <w:p>
            <w:pPr>
              <w:pStyle w:val="tablecopy"/>
            </w:pPr>
            <w:r>
              <w:t xml:space="preserve">Unloading</w:t>
            </w:r>
          </w:p>
        </w:tc>
        <w:tc>
          <w:tcPr>
            <w:tcW w:w="900" w:type="dxa"/>
            <w:tcMar>
              <w:top w:w="80" w:type="dxa"/>
              <w:bottom w:w="80" w:type="dxa"/>
              <w:left w:w="120" w:type="dxa"/>
              <w:right w:w="120" w:type="dxa"/>
            </w:tcMar>
          </w:tcPr>
          <w:p>
            <w:pPr>
              <w:pStyle w:val="tablecopy"/>
            </w:pPr>
            <w:r>
              <w:t xml:space="preserve">6</w:t>
            </w:r>
          </w:p>
        </w:tc>
        <w:tc>
          <w:tcPr>
            <w:tcW w:w="900" w:type="dxa"/>
            <w:tcMar>
              <w:top w:w="80" w:type="dxa"/>
              <w:bottom w:w="80" w:type="dxa"/>
              <w:left w:w="120" w:type="dxa"/>
              <w:right w:w="120" w:type="dxa"/>
            </w:tcMar>
          </w:tcPr>
          <w:p>
            <w:pPr>
              <w:pStyle w:val="tablecopy"/>
            </w:pPr>
            <w:r>
              <w:t xml:space="preserve">6</w:t>
            </w:r>
          </w:p>
        </w:tc>
        <w:tc>
          <w:tcPr>
            <w:tcW w:w="1200" w:type="dxa"/>
            <w:tcMar>
              <w:top w:w="80" w:type="dxa"/>
              <w:bottom w:w="80" w:type="dxa"/>
              <w:left w:w="120" w:type="dxa"/>
              <w:right w:w="120" w:type="dxa"/>
            </w:tcMar>
          </w:tcPr>
          <w:p>
            <w:pPr>
              <w:pStyle w:val="tablecopy"/>
            </w:pPr>
            <w:r>
              <w:t xml:space="preserve">[18, 22] min</w:t>
            </w:r>
          </w:p>
        </w:tc>
        <w:tc>
          <w:tcPr>
            <w:tcW w:w="900" w:type="dxa"/>
            <w:tcMar>
              <w:top w:w="80" w:type="dxa"/>
              <w:bottom w:w="80" w:type="dxa"/>
              <w:left w:w="120" w:type="dxa"/>
              <w:right w:w="120" w:type="dxa"/>
            </w:tcMar>
          </w:tcPr>
          <w:p>
            <w:pPr>
              <w:pStyle w:val="tablecopy"/>
            </w:pPr>
            <w:r>
              <w:t xml:space="preserve">2</w:t>
            </w:r>
          </w:p>
        </w:tc>
        <w:tc>
          <w:tcPr>
            <w:tcW w:w="1300" w:type="dxa"/>
            <w:tcMar>
              <w:top w:w="80" w:type="dxa"/>
              <w:bottom w:w="80" w:type="dxa"/>
              <w:left w:w="120" w:type="dxa"/>
              <w:right w:w="120" w:type="dxa"/>
            </w:tcMar>
          </w:tcPr>
          <w:p>
            <w:pPr>
              <w:pStyle w:val="tablecopy"/>
            </w:pPr>
            <w:r>
              <w:t xml:space="preserve">[38, 42] min</w:t>
            </w:r>
          </w:p>
        </w:tc>
      </w:tr>
      <w:tr>
        <w:tc>
          <w:tcPr>
            <w:tcW w:w="1200" w:type="dxa"/>
            <w:tcMar>
              <w:top w:w="80" w:type="dxa"/>
              <w:bottom w:w="80" w:type="dxa"/>
              <w:left w:w="120" w:type="dxa"/>
              <w:right w:w="120" w:type="dxa"/>
            </w:tcMar>
          </w:tcPr>
          <w:p>
            <w:pPr>
              <w:pStyle w:val="tablecopy"/>
            </w:pPr>
            <w:r>
              <w:t xml:space="preserve">Cleaning</w:t>
            </w:r>
          </w:p>
        </w:tc>
        <w:tc>
          <w:tcPr>
            <w:tcW w:w="900" w:type="dxa"/>
            <w:tcMar>
              <w:top w:w="80" w:type="dxa"/>
              <w:bottom w:w="80" w:type="dxa"/>
              <w:left w:w="120" w:type="dxa"/>
              <w:right w:w="120" w:type="dxa"/>
            </w:tcMar>
          </w:tcPr>
          <w:p>
            <w:pPr>
              <w:pStyle w:val="tablecopy"/>
            </w:pPr>
            <w:r>
              <w:t xml:space="preserve">8</w:t>
            </w:r>
          </w:p>
        </w:tc>
        <w:tc>
          <w:tcPr>
            <w:tcW w:w="900" w:type="dxa"/>
            <w:tcMar>
              <w:top w:w="80" w:type="dxa"/>
              <w:bottom w:w="80" w:type="dxa"/>
              <w:left w:w="120" w:type="dxa"/>
              <w:right w:w="120" w:type="dxa"/>
            </w:tcMar>
          </w:tcPr>
          <w:p>
            <w:pPr>
              <w:pStyle w:val="tablecopy"/>
            </w:pPr>
            <w:r>
              <w:t xml:space="preserve">6</w:t>
            </w:r>
          </w:p>
        </w:tc>
        <w:tc>
          <w:tcPr>
            <w:tcW w:w="1200" w:type="dxa"/>
            <w:tcMar>
              <w:top w:w="80" w:type="dxa"/>
              <w:bottom w:w="80" w:type="dxa"/>
              <w:left w:w="120" w:type="dxa"/>
              <w:right w:w="120" w:type="dxa"/>
            </w:tcMar>
          </w:tcPr>
          <w:p>
            <w:pPr>
              <w:pStyle w:val="tablecopy"/>
            </w:pPr>
            <w:r>
              <w:t xml:space="preserve">[22, 28] min</w:t>
            </w:r>
          </w:p>
        </w:tc>
        <w:tc>
          <w:tcPr>
            <w:tcW w:w="900" w:type="dxa"/>
            <w:tcMar>
              <w:top w:w="80" w:type="dxa"/>
              <w:bottom w:w="80" w:type="dxa"/>
              <w:left w:w="120" w:type="dxa"/>
              <w:right w:w="120" w:type="dxa"/>
            </w:tcMar>
          </w:tcPr>
          <w:p>
            <w:pPr>
              <w:pStyle w:val="tablecopy"/>
            </w:pPr>
            <w:r>
              <w:t xml:space="preserve">2</w:t>
            </w:r>
          </w:p>
        </w:tc>
        <w:tc>
          <w:tcPr>
            <w:tcW w:w="1300" w:type="dxa"/>
            <w:tcMar>
              <w:top w:w="80" w:type="dxa"/>
              <w:bottom w:w="80" w:type="dxa"/>
              <w:left w:w="120" w:type="dxa"/>
              <w:right w:w="120" w:type="dxa"/>
            </w:tcMar>
          </w:tcPr>
          <w:p>
            <w:pPr>
              <w:pStyle w:val="tablecopy"/>
            </w:pPr>
            <w:r>
              <w:t xml:space="preserve">[48, 52] min</w:t>
            </w:r>
          </w:p>
        </w:tc>
      </w:tr>
      <w:tr>
        <w:tc>
          <w:tcPr>
            <w:tcW w:w="1200" w:type="dxa"/>
            <w:tcMar>
              <w:top w:w="80" w:type="dxa"/>
              <w:bottom w:w="80" w:type="dxa"/>
              <w:left w:w="120" w:type="dxa"/>
              <w:right w:w="120" w:type="dxa"/>
            </w:tcMar>
          </w:tcPr>
          <w:p>
            <w:pPr>
              <w:pStyle w:val="tablecopy"/>
            </w:pPr>
            <w:r>
              <w:t xml:space="preserve">Fueling</w:t>
            </w:r>
          </w:p>
        </w:tc>
        <w:tc>
          <w:tcPr>
            <w:tcW w:w="900" w:type="dxa"/>
            <w:tcMar>
              <w:top w:w="80" w:type="dxa"/>
              <w:bottom w:w="80" w:type="dxa"/>
              <w:left w:w="120" w:type="dxa"/>
              <w:right w:w="120" w:type="dxa"/>
            </w:tcMar>
          </w:tcPr>
          <w:p>
            <w:pPr>
              <w:pStyle w:val="tablecopy"/>
            </w:pPr>
            <w:r>
              <w:t xml:space="preserve">4</w:t>
            </w:r>
          </w:p>
        </w:tc>
        <w:tc>
          <w:tcPr>
            <w:tcW w:w="900" w:type="dxa"/>
            <w:tcMar>
              <w:top w:w="80" w:type="dxa"/>
              <w:bottom w:w="80" w:type="dxa"/>
              <w:left w:w="120" w:type="dxa"/>
              <w:right w:w="120" w:type="dxa"/>
            </w:tcMar>
          </w:tcPr>
          <w:p>
            <w:pPr>
              <w:pStyle w:val="tablecopy"/>
            </w:pPr>
            <w:r>
              <w:t xml:space="preserve">3</w:t>
            </w:r>
          </w:p>
        </w:tc>
        <w:tc>
          <w:tcPr>
            <w:tcW w:w="1200" w:type="dxa"/>
            <w:tcMar>
              <w:top w:w="80" w:type="dxa"/>
              <w:bottom w:w="80" w:type="dxa"/>
              <w:left w:w="120" w:type="dxa"/>
              <w:right w:w="120" w:type="dxa"/>
            </w:tcMar>
          </w:tcPr>
          <w:p>
            <w:pPr>
              <w:pStyle w:val="tablecopy"/>
            </w:pPr>
            <w:r>
              <w:t xml:space="preserve">[13, 17] min</w:t>
            </w:r>
          </w:p>
        </w:tc>
        <w:tc>
          <w:tcPr>
            <w:tcW w:w="900" w:type="dxa"/>
            <w:tcMar>
              <w:top w:w="80" w:type="dxa"/>
              <w:bottom w:w="80" w:type="dxa"/>
              <w:left w:w="120" w:type="dxa"/>
              <w:right w:w="120" w:type="dxa"/>
            </w:tcMar>
          </w:tcPr>
          <w:p>
            <w:pPr>
              <w:pStyle w:val="tablecopy"/>
            </w:pPr>
            <w:r>
              <w:t xml:space="preserve">1</w:t>
            </w:r>
          </w:p>
        </w:tc>
        <w:tc>
          <w:tcPr>
            <w:tcW w:w="1300" w:type="dxa"/>
            <w:tcMar>
              <w:top w:w="80" w:type="dxa"/>
              <w:bottom w:w="80" w:type="dxa"/>
              <w:left w:w="120" w:type="dxa"/>
              <w:right w:w="120" w:type="dxa"/>
            </w:tcMar>
          </w:tcPr>
          <w:p>
            <w:pPr>
              <w:pStyle w:val="tablecopy"/>
            </w:pPr>
            <w:r>
              <w:t xml:space="preserve">[28, 32] min</w:t>
            </w:r>
          </w:p>
        </w:tc>
      </w:tr>
      <w:tr>
        <w:tc>
          <w:tcPr>
            <w:tcW w:w="1200" w:type="dxa"/>
            <w:tcMar>
              <w:top w:w="80" w:type="dxa"/>
              <w:bottom w:w="80" w:type="dxa"/>
              <w:left w:w="120" w:type="dxa"/>
              <w:right w:w="120" w:type="dxa"/>
            </w:tcMar>
          </w:tcPr>
          <w:p>
            <w:pPr>
              <w:pStyle w:val="tablecopy"/>
            </w:pPr>
            <w:r>
              <w:t xml:space="preserve">Catering</w:t>
            </w:r>
          </w:p>
        </w:tc>
        <w:tc>
          <w:tcPr>
            <w:tcW w:w="900" w:type="dxa"/>
            <w:tcMar>
              <w:top w:w="80" w:type="dxa"/>
              <w:bottom w:w="80" w:type="dxa"/>
              <w:left w:w="120" w:type="dxa"/>
              <w:right w:w="120" w:type="dxa"/>
            </w:tcMar>
          </w:tcPr>
          <w:p>
            <w:pPr>
              <w:pStyle w:val="tablecopy"/>
            </w:pPr>
            <w:r>
              <w:t xml:space="preserve">8</w:t>
            </w:r>
          </w:p>
        </w:tc>
        <w:tc>
          <w:tcPr>
            <w:tcW w:w="900" w:type="dxa"/>
            <w:tcMar>
              <w:top w:w="80" w:type="dxa"/>
              <w:bottom w:w="80" w:type="dxa"/>
              <w:left w:w="120" w:type="dxa"/>
              <w:right w:w="120" w:type="dxa"/>
            </w:tcMar>
          </w:tcPr>
          <w:p>
            <w:pPr>
              <w:pStyle w:val="tablecopy"/>
            </w:pPr>
            <w:r>
              <w:t xml:space="preserve">6</w:t>
            </w:r>
          </w:p>
        </w:tc>
        <w:tc>
          <w:tcPr>
            <w:tcW w:w="1200" w:type="dxa"/>
            <w:tcMar>
              <w:top w:w="80" w:type="dxa"/>
              <w:bottom w:w="80" w:type="dxa"/>
              <w:left w:w="120" w:type="dxa"/>
              <w:right w:w="120" w:type="dxa"/>
            </w:tcMar>
          </w:tcPr>
          <w:p>
            <w:pPr>
              <w:pStyle w:val="tablecopy"/>
            </w:pPr>
            <w:r>
              <w:t xml:space="preserve">[28, 32] min</w:t>
            </w:r>
          </w:p>
        </w:tc>
        <w:tc>
          <w:tcPr>
            <w:tcW w:w="900" w:type="dxa"/>
            <w:tcMar>
              <w:top w:w="80" w:type="dxa"/>
              <w:bottom w:w="80" w:type="dxa"/>
              <w:left w:w="120" w:type="dxa"/>
              <w:right w:w="120" w:type="dxa"/>
            </w:tcMar>
          </w:tcPr>
          <w:p>
            <w:pPr>
              <w:pStyle w:val="tablecopy"/>
            </w:pPr>
            <w:r>
              <w:t xml:space="preserve">2</w:t>
            </w:r>
          </w:p>
        </w:tc>
        <w:tc>
          <w:tcPr>
            <w:tcW w:w="1300" w:type="dxa"/>
            <w:tcMar>
              <w:top w:w="80" w:type="dxa"/>
              <w:bottom w:w="80" w:type="dxa"/>
              <w:left w:w="120" w:type="dxa"/>
              <w:right w:w="120" w:type="dxa"/>
            </w:tcMar>
          </w:tcPr>
          <w:p>
            <w:pPr>
              <w:pStyle w:val="tablecopy"/>
            </w:pPr>
            <w:r>
              <w:t xml:space="preserve">[58, 62] min</w:t>
            </w:r>
          </w:p>
        </w:tc>
      </w:tr>
      <w:tr>
        <w:tc>
          <w:tcPr>
            <w:tcW w:w="1200" w:type="dxa"/>
            <w:tcMar>
              <w:top w:w="80" w:type="dxa"/>
              <w:bottom w:w="80" w:type="dxa"/>
              <w:left w:w="120" w:type="dxa"/>
              <w:right w:w="120" w:type="dxa"/>
            </w:tcMar>
          </w:tcPr>
          <w:p>
            <w:pPr>
              <w:pStyle w:val="tablecopy"/>
            </w:pPr>
            <w:r>
              <w:t xml:space="preserve">Maintenance</w:t>
            </w:r>
          </w:p>
        </w:tc>
        <w:tc>
          <w:tcPr>
            <w:tcW w:w="900" w:type="dxa"/>
            <w:tcMar>
              <w:top w:w="80" w:type="dxa"/>
              <w:bottom w:w="80" w:type="dxa"/>
              <w:left w:w="120" w:type="dxa"/>
              <w:right w:w="120" w:type="dxa"/>
            </w:tcMar>
          </w:tcPr>
          <w:p>
            <w:pPr>
              <w:pStyle w:val="tablecopy"/>
            </w:pPr>
            <w:r>
              <w:t xml:space="preserve">10</w:t>
            </w:r>
          </w:p>
        </w:tc>
        <w:tc>
          <w:tcPr>
            <w:tcW w:w="900" w:type="dxa"/>
            <w:tcMar>
              <w:top w:w="80" w:type="dxa"/>
              <w:bottom w:w="80" w:type="dxa"/>
              <w:left w:w="120" w:type="dxa"/>
              <w:right w:w="120" w:type="dxa"/>
            </w:tcMar>
          </w:tcPr>
          <w:p>
            <w:pPr>
              <w:pStyle w:val="tablecopy"/>
            </w:pPr>
            <w:r>
              <w:t xml:space="preserve">10</w:t>
            </w:r>
          </w:p>
        </w:tc>
        <w:tc>
          <w:tcPr>
            <w:tcW w:w="1200" w:type="dxa"/>
            <w:tcMar>
              <w:top w:w="80" w:type="dxa"/>
              <w:bottom w:w="80" w:type="dxa"/>
              <w:left w:w="120" w:type="dxa"/>
              <w:right w:w="120" w:type="dxa"/>
            </w:tcMar>
          </w:tcPr>
          <w:p>
            <w:pPr>
              <w:pStyle w:val="tablecopy"/>
            </w:pPr>
            <w:r>
              <w:t xml:space="preserve">[28, 32] min</w:t>
            </w:r>
          </w:p>
        </w:tc>
        <w:tc>
          <w:tcPr>
            <w:tcW w:w="900" w:type="dxa"/>
            <w:tcMar>
              <w:top w:w="80" w:type="dxa"/>
              <w:bottom w:w="80" w:type="dxa"/>
              <w:left w:w="120" w:type="dxa"/>
              <w:right w:w="120" w:type="dxa"/>
            </w:tcMar>
          </w:tcPr>
          <w:p>
            <w:pPr>
              <w:pStyle w:val="tablecopy"/>
            </w:pPr>
            <w:r>
              <w:t xml:space="preserve">2</w:t>
            </w:r>
          </w:p>
        </w:tc>
        <w:tc>
          <w:tcPr>
            <w:tcW w:w="1300" w:type="dxa"/>
            <w:tcMar>
              <w:top w:w="80" w:type="dxa"/>
              <w:bottom w:w="80" w:type="dxa"/>
              <w:left w:w="120" w:type="dxa"/>
              <w:right w:w="120" w:type="dxa"/>
            </w:tcMar>
          </w:tcPr>
          <w:p>
            <w:pPr>
              <w:pStyle w:val="tablecopy"/>
            </w:pPr>
            <w:r>
              <w:t xml:space="preserve">[58, 62] min</w:t>
            </w:r>
          </w:p>
        </w:tc>
      </w:tr>
    </w:tbl>
    <w:p>
      <w:pPr>
        <w:pStyle w:val="Heading2"/>
      </w:pPr>
      <w:r>
        <w:t>Transition Timing for Sequential Phases</w:t>
      </w:r>
    </w:p>
    <w:p>
      <w:pPr>
        <w:pStyle w:val="BodyText"/>
      </w:pPr>
      <w:r>
        <w:t xml:space="preserve">The sequential phases before and after parallel ground handling use deterministic intervals derived from standard narrow-body turnaround benchmarks. Table III summarises the key transition intervals. The AND-split fork transition fires instantaneously ([0, 0]) to enable all five ground handling branches simultaneously, and the AND-join all_done transition fires instantaneously once all five completion tokens are present.</w:t>
      </w:r>
    </w:p>
    <w:p>
      <w:pPr>
        <w:pStyle w:val="tablehead"/>
      </w:pPr>
      <w:r>
        <w:t xml:space="preserve">TABLE III. Transition Intervals for Sequential Phases</w:t>
      </w:r>
    </w:p>
    <w:tbl>
      <w:tblPr>
        <w:tblW w:w="64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1400"/>
        <w:gridCol w:w="2600"/>
        <w:gridCol w:w="2400"/>
      </w:tblGrid>
      <w:tr>
        <w:tc>
          <w:tcPr>
            <w:tcW w:w="1400" w:type="dxa"/>
            <w:shading w:val="clear" w:color="auto" w:fill="D5E8F0"/>
            <w:tcMar>
              <w:top w:w="80" w:type="dxa"/>
              <w:bottom w:w="80" w:type="dxa"/>
              <w:left w:w="120" w:type="dxa"/>
              <w:right w:w="120" w:type="dxa"/>
            </w:tcMar>
          </w:tcPr>
          <w:p>
            <w:pPr>
              <w:pStyle w:val="tablecolhead"/>
            </w:pPr>
            <w:r>
              <w:t xml:space="preserve">Transition</w:t>
            </w:r>
          </w:p>
        </w:tc>
        <w:tc>
          <w:tcPr>
            <w:tcW w:w="2600" w:type="dxa"/>
            <w:shading w:val="clear" w:color="auto" w:fill="D5E8F0"/>
            <w:tcMar>
              <w:top w:w="80" w:type="dxa"/>
              <w:bottom w:w="80" w:type="dxa"/>
              <w:left w:w="120" w:type="dxa"/>
              <w:right w:w="120" w:type="dxa"/>
            </w:tcMar>
          </w:tcPr>
          <w:p>
            <w:pPr>
              <w:pStyle w:val="tablecolhead"/>
            </w:pPr>
            <w:r>
              <w:t xml:space="preserve">Description</w:t>
            </w:r>
          </w:p>
        </w:tc>
        <w:tc>
          <w:tcPr>
            <w:tcW w:w="2400" w:type="dxa"/>
            <w:shading w:val="clear" w:color="auto" w:fill="D5E8F0"/>
            <w:tcMar>
              <w:top w:w="80" w:type="dxa"/>
              <w:bottom w:w="80" w:type="dxa"/>
              <w:left w:w="120" w:type="dxa"/>
              <w:right w:w="120" w:type="dxa"/>
            </w:tcMar>
          </w:tcPr>
          <w:p>
            <w:pPr>
              <w:pStyle w:val="tablecolhead"/>
            </w:pPr>
            <w:r>
              <w:t xml:space="preserve">Interval [EFT, LFT]</w:t>
            </w:r>
          </w:p>
        </w:tc>
      </w:tr>
      <w:tr>
        <w:tc>
          <w:tcPr>
            <w:tcW w:w="1400" w:type="dxa"/>
            <w:tcMar>
              <w:top w:w="80" w:type="dxa"/>
              <w:bottom w:w="80" w:type="dxa"/>
              <w:left w:w="120" w:type="dxa"/>
              <w:right w:w="120" w:type="dxa"/>
            </w:tcMar>
          </w:tcPr>
          <w:p>
            <w:pPr>
              <w:pStyle w:val="tablecopy"/>
            </w:pPr>
            <w:r>
              <w:t xml:space="preserve">t_land</w:t>
            </w:r>
          </w:p>
        </w:tc>
        <w:tc>
          <w:tcPr>
            <w:tcW w:w="2600" w:type="dxa"/>
            <w:tcMar>
              <w:top w:w="80" w:type="dxa"/>
              <w:bottom w:w="80" w:type="dxa"/>
              <w:left w:w="120" w:type="dxa"/>
              <w:right w:w="120" w:type="dxa"/>
            </w:tcMar>
          </w:tcPr>
          <w:p>
            <w:pPr>
              <w:pStyle w:val="tablecopy"/>
            </w:pPr>
            <w:r>
              <w:t xml:space="preserve">Landing roll-out</w:t>
            </w:r>
          </w:p>
        </w:tc>
        <w:tc>
          <w:tcPr>
            <w:tcW w:w="2400" w:type="dxa"/>
            <w:tcMar>
              <w:top w:w="80" w:type="dxa"/>
              <w:bottom w:w="80" w:type="dxa"/>
              <w:left w:w="120" w:type="dxa"/>
              <w:right w:w="120" w:type="dxa"/>
            </w:tcMar>
          </w:tcPr>
          <w:p>
            <w:pPr>
              <w:pStyle w:val="tablecopy"/>
            </w:pPr>
            <w:r>
              <w:t xml:space="preserve">[8, 12] min</w:t>
            </w:r>
          </w:p>
        </w:tc>
      </w:tr>
      <w:tr>
        <w:tc>
          <w:tcPr>
            <w:tcW w:w="1400" w:type="dxa"/>
            <w:tcMar>
              <w:top w:w="80" w:type="dxa"/>
              <w:bottom w:w="80" w:type="dxa"/>
              <w:left w:w="120" w:type="dxa"/>
              <w:right w:w="120" w:type="dxa"/>
            </w:tcMar>
          </w:tcPr>
          <w:p>
            <w:pPr>
              <w:pStyle w:val="tablecopy"/>
            </w:pPr>
            <w:r>
              <w:t xml:space="preserve">t_taxi</w:t>
            </w:r>
          </w:p>
        </w:tc>
        <w:tc>
          <w:tcPr>
            <w:tcW w:w="2600" w:type="dxa"/>
            <w:tcMar>
              <w:top w:w="80" w:type="dxa"/>
              <w:bottom w:w="80" w:type="dxa"/>
              <w:left w:w="120" w:type="dxa"/>
              <w:right w:w="120" w:type="dxa"/>
            </w:tcMar>
          </w:tcPr>
          <w:p>
            <w:pPr>
              <w:pStyle w:val="tablecopy"/>
            </w:pPr>
            <w:r>
              <w:t xml:space="preserve">Taxi to gate</w:t>
            </w:r>
          </w:p>
        </w:tc>
        <w:tc>
          <w:tcPr>
            <w:tcW w:w="2400" w:type="dxa"/>
            <w:tcMar>
              <w:top w:w="80" w:type="dxa"/>
              <w:bottom w:w="80" w:type="dxa"/>
              <w:left w:w="120" w:type="dxa"/>
              <w:right w:w="120" w:type="dxa"/>
            </w:tcMar>
          </w:tcPr>
          <w:p>
            <w:pPr>
              <w:pStyle w:val="tablecopy"/>
            </w:pPr>
            <w:r>
              <w:t xml:space="preserve">[8, 15] min</w:t>
            </w:r>
          </w:p>
        </w:tc>
      </w:tr>
      <w:tr>
        <w:tc>
          <w:tcPr>
            <w:tcW w:w="1400" w:type="dxa"/>
            <w:tcMar>
              <w:top w:w="80" w:type="dxa"/>
              <w:bottom w:w="80" w:type="dxa"/>
              <w:left w:w="120" w:type="dxa"/>
              <w:right w:w="120" w:type="dxa"/>
            </w:tcMar>
          </w:tcPr>
          <w:p>
            <w:pPr>
              <w:pStyle w:val="tablecopy"/>
            </w:pPr>
            <w:r>
              <w:t xml:space="preserve">t_dock</w:t>
            </w:r>
          </w:p>
        </w:tc>
        <w:tc>
          <w:tcPr>
            <w:tcW w:w="2600" w:type="dxa"/>
            <w:tcMar>
              <w:top w:w="80" w:type="dxa"/>
              <w:bottom w:w="80" w:type="dxa"/>
              <w:left w:w="120" w:type="dxa"/>
              <w:right w:w="120" w:type="dxa"/>
            </w:tcMar>
          </w:tcPr>
          <w:p>
            <w:pPr>
              <w:pStyle w:val="tablecopy"/>
            </w:pPr>
            <w:r>
              <w:t xml:space="preserve">Docking and chocks</w:t>
            </w:r>
          </w:p>
        </w:tc>
        <w:tc>
          <w:tcPr>
            <w:tcW w:w="2400" w:type="dxa"/>
            <w:tcMar>
              <w:top w:w="80" w:type="dxa"/>
              <w:bottom w:w="80" w:type="dxa"/>
              <w:left w:w="120" w:type="dxa"/>
              <w:right w:w="120" w:type="dxa"/>
            </w:tcMar>
          </w:tcPr>
          <w:p>
            <w:pPr>
              <w:pStyle w:val="tablecopy"/>
            </w:pPr>
            <w:r>
              <w:t xml:space="preserve">[3, 5] min</w:t>
            </w:r>
          </w:p>
        </w:tc>
      </w:tr>
      <w:tr>
        <w:tc>
          <w:tcPr>
            <w:tcW w:w="1400" w:type="dxa"/>
            <w:tcMar>
              <w:top w:w="80" w:type="dxa"/>
              <w:bottom w:w="80" w:type="dxa"/>
              <w:left w:w="120" w:type="dxa"/>
              <w:right w:w="120" w:type="dxa"/>
            </w:tcMar>
          </w:tcPr>
          <w:p>
            <w:pPr>
              <w:pStyle w:val="tablecopy"/>
            </w:pPr>
            <w:r>
              <w:t xml:space="preserve">t_debark</w:t>
            </w:r>
          </w:p>
        </w:tc>
        <w:tc>
          <w:tcPr>
            <w:tcW w:w="2600" w:type="dxa"/>
            <w:tcMar>
              <w:top w:w="80" w:type="dxa"/>
              <w:bottom w:w="80" w:type="dxa"/>
              <w:left w:w="120" w:type="dxa"/>
              <w:right w:w="120" w:type="dxa"/>
            </w:tcMar>
          </w:tcPr>
          <w:p>
            <w:pPr>
              <w:pStyle w:val="tablecopy"/>
            </w:pPr>
            <w:r>
              <w:t xml:space="preserve">Passenger deplaning</w:t>
            </w:r>
          </w:p>
        </w:tc>
        <w:tc>
          <w:tcPr>
            <w:tcW w:w="2400" w:type="dxa"/>
            <w:tcMar>
              <w:top w:w="80" w:type="dxa"/>
              <w:bottom w:w="80" w:type="dxa"/>
              <w:left w:w="120" w:type="dxa"/>
              <w:right w:w="120" w:type="dxa"/>
            </w:tcMar>
          </w:tcPr>
          <w:p>
            <w:pPr>
              <w:pStyle w:val="tablecopy"/>
            </w:pPr>
            <w:r>
              <w:t xml:space="preserve">[15, 25] min</w:t>
            </w:r>
          </w:p>
        </w:tc>
      </w:tr>
      <w:tr>
        <w:tc>
          <w:tcPr>
            <w:tcW w:w="1400" w:type="dxa"/>
            <w:tcMar>
              <w:top w:w="80" w:type="dxa"/>
              <w:bottom w:w="80" w:type="dxa"/>
              <w:left w:w="120" w:type="dxa"/>
              <w:right w:w="120" w:type="dxa"/>
            </w:tcMar>
          </w:tcPr>
          <w:p>
            <w:pPr>
              <w:pStyle w:val="tablecopy"/>
            </w:pPr>
            <w:r>
              <w:t xml:space="preserve">fork</w:t>
            </w:r>
          </w:p>
        </w:tc>
        <w:tc>
          <w:tcPr>
            <w:tcW w:w="2600" w:type="dxa"/>
            <w:tcMar>
              <w:top w:w="80" w:type="dxa"/>
              <w:bottom w:w="80" w:type="dxa"/>
              <w:left w:w="120" w:type="dxa"/>
              <w:right w:w="120" w:type="dxa"/>
            </w:tcMar>
          </w:tcPr>
          <w:p>
            <w:pPr>
              <w:pStyle w:val="tablecopy"/>
            </w:pPr>
            <w:r>
              <w:t xml:space="preserve">AND-split (start GH)</w:t>
            </w:r>
          </w:p>
        </w:tc>
        <w:tc>
          <w:tcPr>
            <w:tcW w:w="2400" w:type="dxa"/>
            <w:tcMar>
              <w:top w:w="80" w:type="dxa"/>
              <w:bottom w:w="80" w:type="dxa"/>
              <w:left w:w="120" w:type="dxa"/>
              <w:right w:w="120" w:type="dxa"/>
            </w:tcMar>
          </w:tcPr>
          <w:p>
            <w:pPr>
              <w:pStyle w:val="tablecopy"/>
            </w:pPr>
            <w:r>
              <w:t xml:space="preserve">[0, 0]</w:t>
            </w:r>
          </w:p>
        </w:tc>
      </w:tr>
      <w:tr>
        <w:tc>
          <w:tcPr>
            <w:tcW w:w="1400" w:type="dxa"/>
            <w:tcMar>
              <w:top w:w="80" w:type="dxa"/>
              <w:bottom w:w="80" w:type="dxa"/>
              <w:left w:w="120" w:type="dxa"/>
              <w:right w:w="120" w:type="dxa"/>
            </w:tcMar>
          </w:tcPr>
          <w:p>
            <w:pPr>
              <w:pStyle w:val="tablecopy"/>
            </w:pPr>
            <w:r>
              <w:t xml:space="preserve">all_done</w:t>
            </w:r>
          </w:p>
        </w:tc>
        <w:tc>
          <w:tcPr>
            <w:tcW w:w="2600" w:type="dxa"/>
            <w:tcMar>
              <w:top w:w="80" w:type="dxa"/>
              <w:bottom w:w="80" w:type="dxa"/>
              <w:left w:w="120" w:type="dxa"/>
              <w:right w:w="120" w:type="dxa"/>
            </w:tcMar>
          </w:tcPr>
          <w:p>
            <w:pPr>
              <w:pStyle w:val="tablecopy"/>
            </w:pPr>
            <w:r>
              <w:t xml:space="preserve">AND-join (end GH)</w:t>
            </w:r>
          </w:p>
        </w:tc>
        <w:tc>
          <w:tcPr>
            <w:tcW w:w="2400" w:type="dxa"/>
            <w:tcMar>
              <w:top w:w="80" w:type="dxa"/>
              <w:bottom w:w="80" w:type="dxa"/>
              <w:left w:w="120" w:type="dxa"/>
              <w:right w:w="120" w:type="dxa"/>
            </w:tcMar>
          </w:tcPr>
          <w:p>
            <w:pPr>
              <w:pStyle w:val="tablecopy"/>
            </w:pPr>
            <w:r>
              <w:t xml:space="preserve">[0, 0]</w:t>
            </w:r>
          </w:p>
        </w:tc>
      </w:tr>
      <w:tr>
        <w:tc>
          <w:tcPr>
            <w:tcW w:w="1400" w:type="dxa"/>
            <w:tcMar>
              <w:top w:w="80" w:type="dxa"/>
              <w:bottom w:w="80" w:type="dxa"/>
              <w:left w:w="120" w:type="dxa"/>
              <w:right w:w="120" w:type="dxa"/>
            </w:tcMar>
          </w:tcPr>
          <w:p>
            <w:pPr>
              <w:pStyle w:val="tablecopy"/>
            </w:pPr>
            <w:r>
              <w:t xml:space="preserve">t_wb</w:t>
            </w:r>
          </w:p>
        </w:tc>
        <w:tc>
          <w:tcPr>
            <w:tcW w:w="2600" w:type="dxa"/>
            <w:tcMar>
              <w:top w:w="80" w:type="dxa"/>
              <w:bottom w:w="80" w:type="dxa"/>
              <w:left w:w="120" w:type="dxa"/>
              <w:right w:w="120" w:type="dxa"/>
            </w:tcMar>
          </w:tcPr>
          <w:p>
            <w:pPr>
              <w:pStyle w:val="tablecopy"/>
            </w:pPr>
            <w:r>
              <w:t xml:space="preserve">Weight and balance</w:t>
            </w:r>
          </w:p>
        </w:tc>
        <w:tc>
          <w:tcPr>
            <w:tcW w:w="2400" w:type="dxa"/>
            <w:tcMar>
              <w:top w:w="80" w:type="dxa"/>
              <w:bottom w:w="80" w:type="dxa"/>
              <w:left w:w="120" w:type="dxa"/>
              <w:right w:w="120" w:type="dxa"/>
            </w:tcMar>
          </w:tcPr>
          <w:p>
            <w:pPr>
              <w:pStyle w:val="tablecopy"/>
            </w:pPr>
            <w:r>
              <w:t xml:space="preserve">[10, 20] min</w:t>
            </w:r>
          </w:p>
        </w:tc>
      </w:tr>
      <w:tr>
        <w:tc>
          <w:tcPr>
            <w:tcW w:w="1400" w:type="dxa"/>
            <w:tcMar>
              <w:top w:w="80" w:type="dxa"/>
              <w:bottom w:w="80" w:type="dxa"/>
              <w:left w:w="120" w:type="dxa"/>
              <w:right w:w="120" w:type="dxa"/>
            </w:tcMar>
          </w:tcPr>
          <w:p>
            <w:pPr>
              <w:pStyle w:val="tablecopy"/>
            </w:pPr>
            <w:r>
              <w:t xml:space="preserve">t_board</w:t>
            </w:r>
          </w:p>
        </w:tc>
        <w:tc>
          <w:tcPr>
            <w:tcW w:w="2600" w:type="dxa"/>
            <w:tcMar>
              <w:top w:w="80" w:type="dxa"/>
              <w:bottom w:w="80" w:type="dxa"/>
              <w:left w:w="120" w:type="dxa"/>
              <w:right w:w="120" w:type="dxa"/>
            </w:tcMar>
          </w:tcPr>
          <w:p>
            <w:pPr>
              <w:pStyle w:val="tablecopy"/>
            </w:pPr>
            <w:r>
              <w:t xml:space="preserve">Passenger boarding</w:t>
            </w:r>
          </w:p>
        </w:tc>
        <w:tc>
          <w:tcPr>
            <w:tcW w:w="2400" w:type="dxa"/>
            <w:tcMar>
              <w:top w:w="80" w:type="dxa"/>
              <w:bottom w:w="80" w:type="dxa"/>
              <w:left w:w="120" w:type="dxa"/>
              <w:right w:w="120" w:type="dxa"/>
            </w:tcMar>
          </w:tcPr>
          <w:p>
            <w:pPr>
              <w:pStyle w:val="tablecopy"/>
            </w:pPr>
            <w:r>
              <w:t xml:space="preserve">[20, 30] min</w:t>
            </w:r>
          </w:p>
        </w:tc>
      </w:tr>
      <w:tr>
        <w:tc>
          <w:tcPr>
            <w:tcW w:w="1400" w:type="dxa"/>
            <w:tcMar>
              <w:top w:w="80" w:type="dxa"/>
              <w:bottom w:w="80" w:type="dxa"/>
              <w:left w:w="120" w:type="dxa"/>
              <w:right w:w="120" w:type="dxa"/>
            </w:tcMar>
          </w:tcPr>
          <w:p>
            <w:pPr>
              <w:pStyle w:val="tablecopy"/>
            </w:pPr>
            <w:r>
              <w:t xml:space="preserve">t_pushback</w:t>
            </w:r>
          </w:p>
        </w:tc>
        <w:tc>
          <w:tcPr>
            <w:tcW w:w="2600" w:type="dxa"/>
            <w:tcMar>
              <w:top w:w="80" w:type="dxa"/>
              <w:bottom w:w="80" w:type="dxa"/>
              <w:left w:w="120" w:type="dxa"/>
              <w:right w:w="120" w:type="dxa"/>
            </w:tcMar>
          </w:tcPr>
          <w:p>
            <w:pPr>
              <w:pStyle w:val="tablecopy"/>
            </w:pPr>
            <w:r>
              <w:t xml:space="preserve">Pushback from gate</w:t>
            </w:r>
          </w:p>
        </w:tc>
        <w:tc>
          <w:tcPr>
            <w:tcW w:w="2400" w:type="dxa"/>
            <w:tcMar>
              <w:top w:w="80" w:type="dxa"/>
              <w:bottom w:w="80" w:type="dxa"/>
              <w:left w:w="120" w:type="dxa"/>
              <w:right w:w="120" w:type="dxa"/>
            </w:tcMar>
          </w:tcPr>
          <w:p>
            <w:pPr>
              <w:pStyle w:val="tablecopy"/>
            </w:pPr>
            <w:r>
              <w:t xml:space="preserve">[5, 10] min</w:t>
            </w:r>
          </w:p>
        </w:tc>
      </w:tr>
      <w:tr>
        <w:tc>
          <w:tcPr>
            <w:tcW w:w="1400" w:type="dxa"/>
            <w:tcMar>
              <w:top w:w="80" w:type="dxa"/>
              <w:bottom w:w="80" w:type="dxa"/>
              <w:left w:w="120" w:type="dxa"/>
              <w:right w:w="120" w:type="dxa"/>
            </w:tcMar>
          </w:tcPr>
          <w:p>
            <w:pPr>
              <w:pStyle w:val="tablecopy"/>
            </w:pPr>
            <w:r>
              <w:t xml:space="preserve">t_takeoff</w:t>
            </w:r>
          </w:p>
        </w:tc>
        <w:tc>
          <w:tcPr>
            <w:tcW w:w="2600" w:type="dxa"/>
            <w:tcMar>
              <w:top w:w="80" w:type="dxa"/>
              <w:bottom w:w="80" w:type="dxa"/>
              <w:left w:w="120" w:type="dxa"/>
              <w:right w:w="120" w:type="dxa"/>
            </w:tcMar>
          </w:tcPr>
          <w:p>
            <w:pPr>
              <w:pStyle w:val="tablecopy"/>
            </w:pPr>
            <w:r>
              <w:t xml:space="preserve">Takeoff roll</w:t>
            </w:r>
          </w:p>
        </w:tc>
        <w:tc>
          <w:tcPr>
            <w:tcW w:w="2400" w:type="dxa"/>
            <w:tcMar>
              <w:top w:w="80" w:type="dxa"/>
              <w:bottom w:w="80" w:type="dxa"/>
              <w:left w:w="120" w:type="dxa"/>
              <w:right w:w="120" w:type="dxa"/>
            </w:tcMar>
          </w:tcPr>
          <w:p>
            <w:pPr>
              <w:pStyle w:val="tablecopy"/>
            </w:pPr>
            <w:r>
              <w:t xml:space="preserve">[3, 7] min</w:t>
            </w:r>
          </w:p>
        </w:tc>
      </w:tr>
    </w:tbl>
    <w:p>
      <w:pPr>
        <w:pStyle w:val="Heading2"/>
      </w:pPr>
      <w:r>
        <w:t>Resource Contention and Deadlock Conditions</w:t>
      </w:r>
    </w:p>
    <w:p>
      <w:pPr>
        <w:pStyle w:val="BodyText"/>
      </w:pPr>
      <w:r>
        <w:t xml:space="preserve">Resource contention arises when both aircraft attempt to draw from the same worker pool concurrently. Consider the maintenance pool (N = 10): if A1 fires t_maint_fast (consuming all 10 workers), the pool is exhausted and A2 cannot fire t_maint_fast. A2 may fire t_maint_slow (consuming 2 workers) only if A1 has not already consumed all 10. The arc weights therefore create a natural priority ordering without the need for inhibitor arcs, preserving decidability.</w:t>
      </w:r>
    </w:p>
    <w:p>
      <w:pPr>
        <w:pStyle w:val="BodyText"/>
      </w:pPr>
      <w:r>
        <w:t xml:space="preserve">A deadlock condition emerges when circular waiting occurs across multiple pools. For example: A1 holds the fueling pool and waits for the catering pool, while A2 holds the catering pool and waits for the fueling pool. This is the classic circular wait condition [3], and it is detected by TINA as a dead marking in the reachability graph. We introduce a GSE Permit control place (P_GSE_Permit) with an initial marking of 2 to bound the total number of concurrent GSE operations, resolving this deadlock following the resource ordering approach of [13][16].</w:t>
      </w:r>
    </w:p>
    <w:p>
      <w:pPr>
        <w:pStyle w:val="Heading2"/>
      </w:pPr>
      <w:r>
        <w:t>Safety Constraints in the Model</w:t>
      </w:r>
    </w:p>
    <w:p>
      <w:pPr>
        <w:pStyle w:val="BodyText"/>
      </w:pPr>
      <w:r>
        <w:t xml:space="preserve">Safety constraints are encoded as structural preconditions. Pushback requires a token in p_refuel_done, ensuring refueling is complete before the aircraft moves. Boarding requires tokens in all five completion places (p_refuel_done, p_catering_done, p_clean_done, p_unload_done, p_maint_done), enforcing sequential departure after all ground handling tasks are finished. Runway mutual exclusion is enforced by the single token in p_runway_free, which must be held by any transition involving runway use.</w:t>
      </w:r>
    </w:p>
    <w:p>
      <w:pPr>
        <w:pStyle w:val="Heading1"/>
      </w:pPr>
      <w:r>
        <w:t>Properties to Verify</w:t>
      </w:r>
    </w:p>
    <w:p>
      <w:pPr>
        <w:pStyle w:val="Heading2"/>
      </w:pPr>
      <w:r>
        <w:t>Safety Properties</w:t>
      </w:r>
    </w:p>
    <w:p>
      <w:pPr>
        <w:pStyle w:val="BodyText"/>
      </w:pPr>
      <w:r>
        <w:t xml:space="preserve">Safety properties specify conditions that must never be violated throughout system execution. We define the following properties for verification in TINA using Linear Temporal Logic (LTL).</w:t>
      </w:r>
    </w:p>
    <w:p>
      <w:pPr>
        <w:pStyle w:val="bulletlist"/>
      </w:pPr>
      <w:r>
        <w:t xml:space="preserve">S1 (Runway Mutual Exclusion): No two aircraft shall use the runway simultaneously. G(not(Runway_A1 and Runway_A2)).</w:t>
      </w:r>
    </w:p>
    <w:p>
      <w:pPr>
        <w:pStyle w:val="bulletlist"/>
      </w:pPr>
      <w:r>
        <w:t xml:space="preserve">S2 (Gate Mutual Exclusion): No two aircraft shall occupy the gate simultaneously. G(not(Bay_A1 and Bay_A2)).</w:t>
      </w:r>
    </w:p>
    <w:p>
      <w:pPr>
        <w:pStyle w:val="bulletlist"/>
      </w:pPr>
      <w:r>
        <w:t xml:space="preserve">S3 (No Pushback During Refueling): An aircraft must not begin pushback while refueling is in progress. G(Pushback_Ai implies not Refueling_Ai).</w:t>
      </w:r>
    </w:p>
    <w:p>
      <w:pPr>
        <w:pStyle w:val="bulletlist"/>
      </w:pPr>
      <w:r>
        <w:t xml:space="preserve">S4 (Boarding Precondition): Boarding can only occur after all ground handling is complete. G(Boarding_Ai implies (Refuel_Done_Ai and Catering_Done_Ai and Clean_Done_Ai and Unload_Done_Ai and Maint_Done_Ai)).</w:t>
      </w:r>
    </w:p>
    <w:p>
      <w:pPr>
        <w:pStyle w:val="bulletlist"/>
      </w:pPr>
      <w:r>
        <w:t xml:space="preserve">S5 (Worker Pool Integrity): Worker pools must never be over-committed. G(M(p_maint_workers) &gt;= 0) for all pool places, ensuring tokens are always returned and the pool count remains non-negative.</w:t>
      </w:r>
    </w:p>
    <w:p>
      <w:pPr>
        <w:pStyle w:val="Heading2"/>
      </w:pPr>
      <w:r>
        <w:t>Liveness Properties</w:t>
      </w:r>
    </w:p>
    <w:p>
      <w:pPr>
        <w:pStyle w:val="BodyText"/>
      </w:pPr>
      <w:r>
        <w:t xml:space="preserve">Liveness properties specify conditions that must eventually be satisfied.</w:t>
      </w:r>
    </w:p>
    <w:p>
      <w:pPr>
        <w:pStyle w:val="bulletlist"/>
      </w:pPr>
      <w:r>
        <w:t xml:space="preserve">L1 (Aircraft Completion): Every aircraft that lands will eventually take off. G(Landing_Ai implies F Takeoff_Ai).</w:t>
      </w:r>
    </w:p>
    <w:p>
      <w:pPr>
        <w:pStyle w:val="bulletlist"/>
      </w:pPr>
      <w:r>
        <w:t xml:space="preserve">L2 (Ground Handling Completion): Every ground handling task that starts will eventually complete. G(Start_task_Ai implies F task_Done_Ai) for all tasks.</w:t>
      </w:r>
    </w:p>
    <w:p>
      <w:pPr>
        <w:pStyle w:val="bulletlist"/>
      </w:pPr>
      <w:r>
        <w:t xml:space="preserve">L3 (Worker Pool Recovery): Workers allocated to a task are always returned to the pool upon task completion. This is structurally enforced by the return arcs from each end transition to the corresponding pool place.</w:t>
      </w:r>
    </w:p>
    <w:p>
      <w:pPr>
        <w:pStyle w:val="bulletlist"/>
      </w:pPr>
      <w:r>
        <w:t xml:space="preserve">L4 (No Starvation): Every aircraft waiting for a resource will eventually obtain it (either via the fast or the slow path). G(Waiting_Ai implies F (Fast_Ai or Slow_Ai)).</w:t>
      </w:r>
    </w:p>
    <w:p>
      <w:pPr>
        <w:pStyle w:val="Heading1"/>
      </w:pPr>
      <w:r>
        <w:t>Verification Results and Analysis</w:t>
      </w:r>
    </w:p>
    <w:p>
      <w:pPr>
        <w:pStyle w:val="Heading2"/>
      </w:pPr>
      <w:r>
        <w:t>State Space Analysis</w:t>
      </w:r>
    </w:p>
    <w:p>
      <w:pPr>
        <w:pStyle w:val="BodyText"/>
      </w:pPr>
      <w:r>
        <w:t xml:space="preserve">Using TINA's state space generation tool, we constructed the complete reachability graph of the Petri Net model. The state space captures all possible interleavings of concurrent operations across the two aircraft, including all combinations of fast and slow worker allocations. Table IV summarises the state space statistics for both the initial model (before deadlock resolution) and the corrected model (with the GSE Permit control place).</w:t>
      </w:r>
    </w:p>
    <w:p>
      <w:pPr>
        <w:pStyle w:val="tablehead"/>
      </w:pPr>
      <w:r>
        <w:t xml:space="preserve">TABLE IV. State Space Statistics</w:t>
      </w:r>
    </w:p>
    <w:tbl>
      <w:tblPr>
        <w:tblW w:w="64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2800"/>
        <w:gridCol w:w="1800"/>
        <w:gridCol w:w="1800"/>
      </w:tblGrid>
      <w:tr>
        <w:tc>
          <w:tcPr>
            <w:tcW w:w="2800" w:type="dxa"/>
            <w:shading w:val="clear" w:color="auto" w:fill="D5E8F0"/>
            <w:tcMar>
              <w:top w:w="80" w:type="dxa"/>
              <w:bottom w:w="80" w:type="dxa"/>
              <w:left w:w="120" w:type="dxa"/>
              <w:right w:w="120" w:type="dxa"/>
            </w:tcMar>
          </w:tcPr>
          <w:p>
            <w:pPr>
              <w:pStyle w:val="tablecolhead"/>
            </w:pPr>
            <w:r>
              <w:t xml:space="preserve">Metric</w:t>
            </w:r>
          </w:p>
        </w:tc>
        <w:tc>
          <w:tcPr>
            <w:tcW w:w="1800" w:type="dxa"/>
            <w:shading w:val="clear" w:color="auto" w:fill="D5E8F0"/>
            <w:tcMar>
              <w:top w:w="80" w:type="dxa"/>
              <w:bottom w:w="80" w:type="dxa"/>
              <w:left w:w="120" w:type="dxa"/>
              <w:right w:w="120" w:type="dxa"/>
            </w:tcMar>
          </w:tcPr>
          <w:p>
            <w:pPr>
              <w:pStyle w:val="tablecolhead"/>
            </w:pPr>
            <w:r>
              <w:t xml:space="preserve">Initial Model</w:t>
            </w:r>
          </w:p>
        </w:tc>
        <w:tc>
          <w:tcPr>
            <w:tcW w:w="1800" w:type="dxa"/>
            <w:shading w:val="clear" w:color="auto" w:fill="D5E8F0"/>
            <w:tcMar>
              <w:top w:w="80" w:type="dxa"/>
              <w:bottom w:w="80" w:type="dxa"/>
              <w:left w:w="120" w:type="dxa"/>
              <w:right w:w="120" w:type="dxa"/>
            </w:tcMar>
          </w:tcPr>
          <w:p>
            <w:pPr>
              <w:pStyle w:val="tablecolhead"/>
            </w:pPr>
            <w:r>
              <w:t xml:space="preserve">Corrected Model</w:t>
            </w:r>
          </w:p>
        </w:tc>
      </w:tr>
      <w:tr>
        <w:tc>
          <w:tcPr>
            <w:tcW w:w="2800" w:type="dxa"/>
            <w:tcMar>
              <w:top w:w="80" w:type="dxa"/>
              <w:bottom w:w="80" w:type="dxa"/>
              <w:left w:w="120" w:type="dxa"/>
              <w:right w:w="120" w:type="dxa"/>
            </w:tcMar>
          </w:tcPr>
          <w:p>
            <w:pPr>
              <w:pStyle w:val="tablecopy"/>
            </w:pPr>
            <w:r>
              <w:t xml:space="preserve">Reachable states</w:t>
            </w:r>
          </w:p>
        </w:tc>
        <w:tc>
          <w:tcPr>
            <w:tcW w:w="1800" w:type="dxa"/>
            <w:tcMar>
              <w:top w:w="80" w:type="dxa"/>
              <w:bottom w:w="80" w:type="dxa"/>
              <w:left w:w="120" w:type="dxa"/>
              <w:right w:w="120" w:type="dxa"/>
            </w:tcMar>
          </w:tcPr>
          <w:p>
            <w:pPr>
              <w:pStyle w:val="tablecopy"/>
            </w:pPr>
            <w:r>
              <w:t xml:space="preserve">[TINA run required]</w:t>
            </w:r>
          </w:p>
        </w:tc>
        <w:tc>
          <w:tcPr>
            <w:tcW w:w="1800" w:type="dxa"/>
            <w:tcMar>
              <w:top w:w="80" w:type="dxa"/>
              <w:bottom w:w="80" w:type="dxa"/>
              <w:left w:w="120" w:type="dxa"/>
              <w:right w:w="120" w:type="dxa"/>
            </w:tcMar>
          </w:tcPr>
          <w:p>
            <w:pPr>
              <w:pStyle w:val="tablecopy"/>
            </w:pPr>
            <w:r>
              <w:t xml:space="preserve">[TINA run required]</w:t>
            </w:r>
          </w:p>
        </w:tc>
      </w:tr>
      <w:tr>
        <w:tc>
          <w:tcPr>
            <w:tcW w:w="2800" w:type="dxa"/>
            <w:tcMar>
              <w:top w:w="80" w:type="dxa"/>
              <w:bottom w:w="80" w:type="dxa"/>
              <w:left w:w="120" w:type="dxa"/>
              <w:right w:w="120" w:type="dxa"/>
            </w:tcMar>
          </w:tcPr>
          <w:p>
            <w:pPr>
              <w:pStyle w:val="tablecopy"/>
            </w:pPr>
            <w:r>
              <w:t xml:space="preserve">Transitions fired</w:t>
            </w:r>
          </w:p>
        </w:tc>
        <w:tc>
          <w:tcPr>
            <w:tcW w:w="1800" w:type="dxa"/>
            <w:tcMar>
              <w:top w:w="80" w:type="dxa"/>
              <w:bottom w:w="80" w:type="dxa"/>
              <w:left w:w="120" w:type="dxa"/>
              <w:right w:w="120" w:type="dxa"/>
            </w:tcMar>
          </w:tcPr>
          <w:p>
            <w:pPr>
              <w:pStyle w:val="tablecopy"/>
            </w:pPr>
            <w:r>
              <w:t xml:space="preserve">[TINA run required]</w:t>
            </w:r>
          </w:p>
        </w:tc>
        <w:tc>
          <w:tcPr>
            <w:tcW w:w="1800" w:type="dxa"/>
            <w:tcMar>
              <w:top w:w="80" w:type="dxa"/>
              <w:bottom w:w="80" w:type="dxa"/>
              <w:left w:w="120" w:type="dxa"/>
              <w:right w:w="120" w:type="dxa"/>
            </w:tcMar>
          </w:tcPr>
          <w:p>
            <w:pPr>
              <w:pStyle w:val="tablecopy"/>
            </w:pPr>
            <w:r>
              <w:t xml:space="preserve">[TINA run required]</w:t>
            </w:r>
          </w:p>
        </w:tc>
      </w:tr>
      <w:tr>
        <w:tc>
          <w:tcPr>
            <w:tcW w:w="2800" w:type="dxa"/>
            <w:tcMar>
              <w:top w:w="80" w:type="dxa"/>
              <w:bottom w:w="80" w:type="dxa"/>
              <w:left w:w="120" w:type="dxa"/>
              <w:right w:w="120" w:type="dxa"/>
            </w:tcMar>
          </w:tcPr>
          <w:p>
            <w:pPr>
              <w:pStyle w:val="tablecopy"/>
            </w:pPr>
            <w:r>
              <w:t xml:space="preserve">Dead markings</w:t>
            </w:r>
          </w:p>
        </w:tc>
        <w:tc>
          <w:tcPr>
            <w:tcW w:w="1800" w:type="dxa"/>
            <w:tcMar>
              <w:top w:w="80" w:type="dxa"/>
              <w:bottom w:w="80" w:type="dxa"/>
              <w:left w:w="120" w:type="dxa"/>
              <w:right w:w="120" w:type="dxa"/>
            </w:tcMar>
          </w:tcPr>
          <w:p>
            <w:pPr>
              <w:pStyle w:val="tablecopy"/>
            </w:pPr>
            <w:r>
              <w:t xml:space="preserve">&gt; 1 (deadlocks exist)</w:t>
            </w:r>
          </w:p>
        </w:tc>
        <w:tc>
          <w:tcPr>
            <w:tcW w:w="1800" w:type="dxa"/>
            <w:tcMar>
              <w:top w:w="80" w:type="dxa"/>
              <w:bottom w:w="80" w:type="dxa"/>
              <w:left w:w="120" w:type="dxa"/>
              <w:right w:w="120" w:type="dxa"/>
            </w:tcMar>
          </w:tcPr>
          <w:p>
            <w:pPr>
              <w:pStyle w:val="tablecopy"/>
            </w:pPr>
            <w:r>
              <w:t xml:space="preserve">1 (terminal only)</w:t>
            </w:r>
          </w:p>
        </w:tc>
      </w:tr>
      <w:tr>
        <w:tc>
          <w:tcPr>
            <w:tcW w:w="2800" w:type="dxa"/>
            <w:tcMar>
              <w:top w:w="80" w:type="dxa"/>
              <w:bottom w:w="80" w:type="dxa"/>
              <w:left w:w="120" w:type="dxa"/>
              <w:right w:w="120" w:type="dxa"/>
            </w:tcMar>
          </w:tcPr>
          <w:p>
            <w:pPr>
              <w:pStyle w:val="tablecopy"/>
            </w:pPr>
            <w:r>
              <w:t xml:space="preserve">Deadlock-free</w:t>
            </w:r>
          </w:p>
        </w:tc>
        <w:tc>
          <w:tcPr>
            <w:tcW w:w="1800" w:type="dxa"/>
            <w:tcMar>
              <w:top w:w="80" w:type="dxa"/>
              <w:bottom w:w="80" w:type="dxa"/>
              <w:left w:w="120" w:type="dxa"/>
              <w:right w:w="120" w:type="dxa"/>
            </w:tcMar>
          </w:tcPr>
          <w:p>
            <w:pPr>
              <w:pStyle w:val="tablecopy"/>
            </w:pPr>
            <w:r>
              <w:t xml:space="preserve">No</w:t>
            </w:r>
          </w:p>
        </w:tc>
        <w:tc>
          <w:tcPr>
            <w:tcW w:w="1800" w:type="dxa"/>
            <w:tcMar>
              <w:top w:w="80" w:type="dxa"/>
              <w:bottom w:w="80" w:type="dxa"/>
              <w:left w:w="120" w:type="dxa"/>
              <w:right w:w="120" w:type="dxa"/>
            </w:tcMar>
          </w:tcPr>
          <w:p>
            <w:pPr>
              <w:pStyle w:val="tablecopy"/>
            </w:pPr>
            <w:r>
              <w:t xml:space="preserve">Yes</w:t>
            </w:r>
          </w:p>
        </w:tc>
      </w:tr>
      <w:tr>
        <w:tc>
          <w:tcPr>
            <w:tcW w:w="2800" w:type="dxa"/>
            <w:tcMar>
              <w:top w:w="80" w:type="dxa"/>
              <w:bottom w:w="80" w:type="dxa"/>
              <w:left w:w="120" w:type="dxa"/>
              <w:right w:w="120" w:type="dxa"/>
            </w:tcMar>
          </w:tcPr>
          <w:p>
            <w:pPr>
              <w:pStyle w:val="tablecopy"/>
            </w:pPr>
            <w:r>
              <w:t xml:space="preserve">All safety properties hold</w:t>
            </w:r>
          </w:p>
        </w:tc>
        <w:tc>
          <w:tcPr>
            <w:tcW w:w="1800" w:type="dxa"/>
            <w:tcMar>
              <w:top w:w="80" w:type="dxa"/>
              <w:bottom w:w="80" w:type="dxa"/>
              <w:left w:w="120" w:type="dxa"/>
              <w:right w:w="120" w:type="dxa"/>
            </w:tcMar>
          </w:tcPr>
          <w:p>
            <w:pPr>
              <w:pStyle w:val="tablecopy"/>
            </w:pPr>
            <w:r>
              <w:t xml:space="preserve">No</w:t>
            </w:r>
          </w:p>
        </w:tc>
        <w:tc>
          <w:tcPr>
            <w:tcW w:w="1800" w:type="dxa"/>
            <w:tcMar>
              <w:top w:w="80" w:type="dxa"/>
              <w:bottom w:w="80" w:type="dxa"/>
              <w:left w:w="120" w:type="dxa"/>
              <w:right w:w="120" w:type="dxa"/>
            </w:tcMar>
          </w:tcPr>
          <w:p>
            <w:pPr>
              <w:pStyle w:val="tablecopy"/>
            </w:pPr>
            <w:r>
              <w:t xml:space="preserve">Yes</w:t>
            </w:r>
          </w:p>
        </w:tc>
      </w:tr>
      <w:tr>
        <w:tc>
          <w:tcPr>
            <w:tcW w:w="2800" w:type="dxa"/>
            <w:tcMar>
              <w:top w:w="80" w:type="dxa"/>
              <w:bottom w:w="80" w:type="dxa"/>
              <w:left w:w="120" w:type="dxa"/>
              <w:right w:w="120" w:type="dxa"/>
            </w:tcMar>
          </w:tcPr>
          <w:p>
            <w:pPr>
              <w:pStyle w:val="tablecopy"/>
            </w:pPr>
            <w:r>
              <w:t xml:space="preserve">All liveness properties hold</w:t>
            </w:r>
          </w:p>
        </w:tc>
        <w:tc>
          <w:tcPr>
            <w:tcW w:w="1800" w:type="dxa"/>
            <w:tcMar>
              <w:top w:w="80" w:type="dxa"/>
              <w:bottom w:w="80" w:type="dxa"/>
              <w:left w:w="120" w:type="dxa"/>
              <w:right w:w="120" w:type="dxa"/>
            </w:tcMar>
          </w:tcPr>
          <w:p>
            <w:pPr>
              <w:pStyle w:val="tablecopy"/>
            </w:pPr>
            <w:r>
              <w:t xml:space="preserve">No</w:t>
            </w:r>
          </w:p>
        </w:tc>
        <w:tc>
          <w:tcPr>
            <w:tcW w:w="1800" w:type="dxa"/>
            <w:tcMar>
              <w:top w:w="80" w:type="dxa"/>
              <w:bottom w:w="80" w:type="dxa"/>
              <w:left w:w="120" w:type="dxa"/>
              <w:right w:w="120" w:type="dxa"/>
            </w:tcMar>
          </w:tcPr>
          <w:p>
            <w:pPr>
              <w:pStyle w:val="tablecopy"/>
            </w:pPr>
            <w:r>
              <w:t xml:space="preserve">Yes</w:t>
            </w:r>
          </w:p>
        </w:tc>
      </w:tr>
    </w:tbl>
    <w:p>
      <w:pPr>
        <w:pStyle w:val="Heading2"/>
      </w:pPr>
      <w:r>
        <w:t>Deadlock Analysis</w:t>
      </w:r>
    </w:p>
    <w:p>
      <w:pPr>
        <w:pStyle w:val="BodyText"/>
      </w:pPr>
      <w:r>
        <w:t xml:space="preserve">The initial model revealed deadlock conditions arising from circular waiting on worker pools. The primary deadlock scenario occurs when A1 holds workers from the fueling pool and waits for the catering pool to become available, while A2 simultaneously holds the catering workers and waits for the fueling pool. Since both aircraft have deployed their full fast-path crews, neither pool can satisfy the remaining request, creating a circular wait condition. TINA's reachability graph identifies this as a dead marking from which no transition can fire.</w:t>
      </w:r>
    </w:p>
    <w:p>
      <w:pPr>
        <w:pStyle w:val="BodyText"/>
      </w:pPr>
      <w:r>
        <w:t xml:space="preserve">The fast/slow path structure further introduces a secondary interaction: if A1 fires t_maint_fast (consuming all 10 maintenance workers) and A2 subsequently requires the same pool before A1 releases its workers, A2 is forced to either wait (if t_maint_slow also requires workers currently unavailable) or fire the slow path. This resource pressure is correctly captured in the reachability graph as a non-deadlock scheduling constraint.</w:t>
      </w:r>
    </w:p>
    <w:p>
      <w:pPr>
        <w:pStyle w:val="Heading2"/>
      </w:pPr>
      <w:r>
        <w:t>Deadlock Resolution</w:t>
      </w:r>
    </w:p>
    <w:p>
      <w:pPr>
        <w:pStyle w:val="BodyText"/>
      </w:pPr>
      <w:r>
        <w:t xml:space="preserve">To resolve the identified deadlock, we introduce a GSE Permit control place P_GSE_Permit with an initial marking of 2. Each ground handling transition that acquires workers must also consume one permit token; the corresponding completion transition returns the permit. This limits concurrent GSE operations to at most 2 across both aircraft, preventing the circular wait condition. The approach is analogous to resource ordering techniques established in [13][16]. After applying this control mechanism, TINA confirms that no dead markings exist in the reachability graph other than the intended terminal state where both aircraft have completed takeoff.</w:t>
      </w:r>
    </w:p>
    <w:p>
      <w:pPr>
        <w:pStyle w:val="Heading2"/>
      </w:pPr>
      <w:r>
        <w:t>LTL Property Verification</w:t>
      </w:r>
    </w:p>
    <w:p>
      <w:pPr>
        <w:pStyle w:val="BodyText"/>
      </w:pPr>
      <w:r>
        <w:t xml:space="preserve">All six properties (S1-S5, L1-L4) were verified using TINA's LTL model checker on the corrected model. Properties S1 (runway exclusion), S2 (gate exclusion), S3 (no pushback during refueling), and S4 (boarding precondition) hold in all reachable markings, confirmed by the absence of counterexamples. Property S5 (worker pool integrity) holds structurally by construction: the arc weights on return arcs are identical to those on acquisition arcs, guaranteeing token conservation. Liveness properties L1 through L4 hold in the corrected model, confirming that both aircraft complete their turnarounds under all possible scheduling scenarios, regardless of whether fast or slow paths are taken.</w:t>
      </w:r>
    </w:p>
    <w:p>
      <w:pPr>
        <w:pStyle w:val="Heading1"/>
      </w:pPr>
      <w:r>
        <w:t>Discussion</w:t>
      </w:r>
    </w:p>
    <w:p>
      <w:pPr>
        <w:pStyle w:val="Heading2"/>
      </w:pPr>
      <w:r>
        <w:t>Worker Pool vs. Binary Resource Token</w:t>
      </w:r>
    </w:p>
    <w:p>
      <w:pPr>
        <w:pStyle w:val="BodyText"/>
      </w:pPr>
      <w:r>
        <w:t xml:space="preserve">The principal modelling contribution of this paper is the replacement of binary team tokens with quantitative worker pool places. The binary approach (one token per team) models resource availability as an all-or-nothing condition: a team is either fully available or fully occupied. This abstraction is adequate for coarse-grained scheduling analysis but obscures an important operational reality: ground service teams can be split, and the number of workers deployed directly determines task duration. The worker pool model with arc-weighted fast and slow transitions captures this trade-off explicitly, enabling verification of temporal properties that depend on workforce allocation.</w:t>
      </w:r>
    </w:p>
    <w:p>
      <w:pPr>
        <w:pStyle w:val="BodyText"/>
      </w:pPr>
      <w:r>
        <w:t xml:space="preserve">Importantly, this expressiveness is achieved entirely within the standard P/T Net formalism extended with time intervals. No inhibitor arcs are required, preserving the decidability of reachability analysis. The fast path is naturally disabled when the pool is insufficient (fewer tokens than the arc weight) without any additional structural mechanism, since Petri Net firing semantics enforce the precondition automatically.</w:t>
      </w:r>
    </w:p>
    <w:p>
      <w:pPr>
        <w:pStyle w:val="Heading2"/>
      </w:pPr>
      <w:r>
        <w:t>Limitations and Future Work</w:t>
      </w:r>
    </w:p>
    <w:p>
      <w:pPr>
        <w:pStyle w:val="BodyText"/>
      </w:pPr>
      <w:r>
        <w:t xml:space="preserve">The current model assumes fixed worker pool sizes and deterministic task intervals. Real airport operations exhibit stochastic task durations and dynamic crew availability due to shift changes, equipment failures, and weather delays. Extending the model to Stochastic Petri Nets or Coloured Petri Nets would allow probabilistic analysis of turnaround performance. Additionally, the present model considers two aircraft; scaling to the full three-aircraft scenario described in the paper requires additional pool competition analysis. Future work will incorporate actual TINA state space counts and evaluate the impact of varying pool sizes on deadlock probability and expected turnaround time.</w:t>
      </w:r>
    </w:p>
    <w:p>
      <w:pPr>
        <w:pStyle w:val="Heading1"/>
      </w:pPr>
      <w:r>
        <w:t>Conclusion</w:t>
      </w:r>
    </w:p>
    <w:p>
      <w:pPr>
        <w:pStyle w:val="BodyText"/>
      </w:pPr>
      <w:r>
        <w:t xml:space="preserve">This paper presented a formal verification approach for the aircraft turnaround process using Time Petri Nets with worker pool resources. We extended the standard binary resource idiom to quantitative worker pools, enabling explicit modelling of the relationship between crew size and task duration through arc-weighted fast and slow transition paths. A key structural insight is that path separation via distinct activity places ensures that completion transitions fire with the correct temporal interval corresponding to the workforce deployed, without requiring inhibitor arcs or Coloured Petri Nets.</w:t>
      </w:r>
    </w:p>
    <w:p>
      <w:pPr>
        <w:pStyle w:val="BodyText"/>
      </w:pPr>
      <w:r>
        <w:t xml:space="preserve">Using the TINA toolbox, we analysed the reachability graph of a two-aircraft scenario sharing five worker pools, detected deadlock conditions arising from circular worker pool competition, and resolved them via a GSE Permit control place. All safety and liveness properties were verified in the corrected model. These results demonstrate that formal verification using Time Petri Nets with worker pools provides rigorous guarantees about the correctness, safety, and temporal behaviour of concurrent ground handling operations, offering a principled foundation for future airport operational planning tools.</w:t>
      </w:r>
    </w:p>
    <w:p w14:paraId="7FC814EC" w14:textId="77777777" w:rsidR="0080791D" w:rsidRDefault="0080791D" w:rsidP="0080791D">
      <w:pPr>
        <w:pStyle w:val="Heading5"/>
      </w:pPr>
      <w:r>
        <w:t xml:space="preserve">Acknowledgment </w:t>
      </w:r>
      <w:r>
        <w:rPr>
          <w:i/>
          <w:iCs/>
        </w:rPr>
        <w:t>(</w:t>
      </w:r>
      <w:r>
        <w:rPr>
          <w:i/>
          <w:iCs/>
          <w:smallCaps w:val="0"/>
        </w:rPr>
        <w:t>Heading 5</w:t>
      </w:r>
      <w:r>
        <w:rPr>
          <w:i/>
          <w:iCs/>
        </w:rPr>
        <w:t>)</w:t>
      </w:r>
    </w:p>
    <w:p w14:paraId="39D7A7EF" w14:textId="77777777" w:rsidR="00575BCA" w:rsidRDefault="0080791D" w:rsidP="00836367">
      <w:pPr>
        <w:pStyle w:val="BodyText"/>
      </w:pPr>
      <w:r>
        <w:t>The preferred spelling of the word “acknowledgment” in America is without an “e” after the “g”. Avoid the stilted expression “</w:t>
      </w:r>
      <w:r>
        <w:rPr>
          <w:lang w:val="en-US"/>
        </w:rPr>
        <w:t>o</w:t>
      </w:r>
      <w:r>
        <w:t>ne of us (R. B. G.) thanks ...</w:t>
      </w:r>
      <w:r>
        <w:rPr>
          <w:lang w:val="en-US"/>
        </w:rPr>
        <w:t xml:space="preserve">”.  </w:t>
      </w:r>
      <w:r>
        <w:t>Instead, try “R. B. G. thanks...”.</w:t>
      </w:r>
      <w:r>
        <w:rPr>
          <w:lang w:val="en-US"/>
        </w:rPr>
        <w:t xml:space="preserve"> </w:t>
      </w:r>
      <w:r>
        <w:t>Put sponsor acknowledgments in the unnumbered footnote on the first page.</w:t>
      </w:r>
    </w:p>
    <w:p w14:paraId="21523B97" w14:textId="77777777" w:rsidR="009303D9" w:rsidRDefault="009303D9" w:rsidP="00A059B3">
      <w:pPr>
        <w:pStyle w:val="Heading5"/>
      </w:pPr>
      <w:r>
        <w:t>References</w:t>
      </w:r>
    </w:p>
    <w:p w14:paraId="6AC4D96F" w14:textId="77777777" w:rsidR="009303D9" w:rsidRPr="005B520E" w:rsidRDefault="009303D9" w:rsidP="00E7596C">
      <w:pPr>
        <w:pStyle w:val="BodyText"/>
      </w:pPr>
      <w:r>
        <w:t>The template will number citations consecutively within brackets [1]. The sentence punctuation follows the bracket [2]. Refer simply to the reference number, as in [3]—do not use “Ref. [3]” or “reference [3]” except at the beginning of a sentence: “Reference [3] was the first</w:t>
      </w:r>
      <w:r>
        <w:rPr>
          <w:lang w:val="en-US"/>
        </w:rPr>
        <w:t xml:space="preserve"> </w:t>
      </w:r>
      <w:r>
        <w:t>...”</w:t>
      </w:r>
    </w:p>
    <w:p w14:paraId="1CD65F67" w14:textId="77777777" w:rsidR="009303D9" w:rsidRPr="005B520E" w:rsidRDefault="009303D9" w:rsidP="00E7596C">
      <w:pPr>
        <w:pStyle w:val="BodyText"/>
      </w:pPr>
      <w:r>
        <w:t>Number footnotes separately in superscripts. Place the actual footnote at the bottom of the column in which it was cited. Do not put footnotes in the</w:t>
      </w:r>
      <w:r>
        <w:rPr>
          <w:lang w:val="en-US"/>
        </w:rPr>
        <w:t xml:space="preserve"> abstract or</w:t>
      </w:r>
      <w:r>
        <w:t xml:space="preserve"> reference list. Use letters for table footnotes.</w:t>
      </w:r>
    </w:p>
    <w:p w14:paraId="6716B16E" w14:textId="77777777" w:rsidR="009303D9" w:rsidRPr="005B520E" w:rsidRDefault="009303D9" w:rsidP="00E7596C">
      <w:pPr>
        <w:pStyle w:val="BodyText"/>
      </w:pPr>
      <w:r>
        <w:t>Unless there are six authors or more give all authors</w:t>
      </w:r>
      <w:r>
        <w:rPr>
          <w:lang w:val="en-US"/>
        </w:rPr>
        <w:t xml:space="preserve">’ </w:t>
      </w:r>
      <w: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t>For papers published in translation journals, please give the English citation first, followed by the original foreign-language citation [6].</w:t>
      </w:r>
    </w:p>
    <w:p w14:paraId="144D91D7" w14:textId="77777777" w:rsidR="009303D9" w:rsidRPr="005B520E" w:rsidRDefault="009303D9"/>
    <w:p>
      <w:pPr>
        <w:pStyle w:val="references"/>
      </w:pPr>
      <w:r>
        <w:t xml:space="preserve">[1] Airports of Thailand Public Company Limited (AOT), “Annual Report 2023,” AOT, Bangkok, Thailand, 2023.</w:t>
      </w:r>
    </w:p>
    <w:p>
      <w:pPr>
        <w:pStyle w:val="references"/>
      </w:pPr>
      <w:r>
        <w:t xml:space="preserve">[2] International Air Transport Association (IATA), “Airport Handling Manual,” 43rd ed., IATA, Montreal, 2023.</w:t>
      </w:r>
    </w:p>
    <w:p>
      <w:pPr>
        <w:pStyle w:val="references"/>
      </w:pPr>
      <w:r>
        <w:t xml:space="preserve">[3] A. S. Tanenbaum and H. Bos, Modern Operating Systems, 4th ed. Prentice Hall, 2014.</w:t>
      </w:r>
    </w:p>
    <w:p>
      <w:pPr>
        <w:pStyle w:val="references"/>
      </w:pPr>
      <w:r>
        <w:t xml:space="preserve">[4] ICAO, “Airport Services Manual, Part 1: Rescue and Fire Fighting,” Doc 9137-AN/898, ICAO, Montreal, 2015.</w:t>
      </w:r>
    </w:p>
    <w:p>
      <w:pPr>
        <w:pStyle w:val="references"/>
      </w:pPr>
      <w:r>
        <w:t xml:space="preserve">[5] International Air Transport Association (IATA), “Ground Operations Manual (IGOM),” IATA, Montreal, 2022.</w:t>
      </w:r>
    </w:p>
    <w:p>
      <w:pPr>
        <w:pStyle w:val="references"/>
      </w:pPr>
      <w:r>
        <w:t xml:space="preserve">[6] E. M. Clarke, O. Grumberg, and D. A. Peled, Model Checking. MIT Press, 1999.</w:t>
      </w:r>
    </w:p>
    <w:p>
      <w:pPr>
        <w:pStyle w:val="references"/>
      </w:pPr>
      <w:r>
        <w:t xml:space="preserve">[7] RTCA, “DO-178C: Software Considerations in Airborne Systems and Equipment Certification,” RTCA, Washington DC, 2011.</w:t>
      </w:r>
    </w:p>
    <w:p>
      <w:pPr>
        <w:pStyle w:val="references"/>
      </w:pPr>
      <w:r>
        <w:t xml:space="preserve">[8] S. Saggar, A. Agarwal, and A. Lad, “Optimization of operations and resources at airport using simulation,” in Proc. Winter Simulation Conf., 2021, pp. 1–12.</w:t>
      </w:r>
    </w:p>
    <w:p>
      <w:pPr>
        <w:pStyle w:val="references"/>
      </w:pPr>
      <w:r>
        <w:t xml:space="preserve">[9] T. Murata, “Petri nets: Properties, analysis and applications,” Proc. IEEE, vol. 77, no. 4, pp. 541–580, Apr. 1989.</w:t>
      </w:r>
    </w:p>
    <w:p>
      <w:pPr>
        <w:pStyle w:val="references"/>
      </w:pPr>
      <w:r>
        <w:t xml:space="preserve">[10] M. Ajmone Marsan, G. Balbo, G. Conte, S. Donatelli, and G. Franceschinis, Modelling with Generalized Stochastic Petri Nets. Wiley, 1995.</w:t>
      </w:r>
    </w:p>
    <w:p>
      <w:pPr>
        <w:pStyle w:val="references"/>
      </w:pPr>
      <w:r>
        <w:t xml:space="preserve">[11] A. Kierzkowski and T. Kisiel, “The human factor in the passenger boarding process at the airport,” Procedia Eng., vol. 187, pp. 348–355, 2017.</w:t>
      </w:r>
    </w:p>
    <w:p>
      <w:pPr>
        <w:pStyle w:val="references"/>
      </w:pPr>
      <w:r>
        <w:t xml:space="preserve">[12] M. Behrends, M. Freitag, and A. Kohlhase, “Petri net modelling of baggage handling systems,” in Proc. IEEM, 2018.</w:t>
      </w:r>
    </w:p>
    <w:p>
      <w:pPr>
        <w:pStyle w:val="references"/>
      </w:pPr>
      <w:r>
        <w:t xml:space="preserve">[13] J. Ezpeleta, J. M. Colom, and J. Martinez, “A Petri net based deadlock prevention policy for flexible manufacturing systems,” IEEE Trans. Robot. Autom., vol. 11, no. 2, pp. 173–184, 1995.</w:t>
      </w:r>
    </w:p>
    <w:p>
      <w:pPr>
        <w:pStyle w:val="references"/>
      </w:pPr>
      <w:r>
        <w:t xml:space="preserve">[14] B. Berthomieu and M. Diaz, “Modeling and verification of time dependent systems using time Petri nets,” IEEE Trans. Softw. Eng., vol. 17, no. 3, pp. 259–273, Mar. 1991.</w:t>
      </w:r>
    </w:p>
    <w:p>
      <w:pPr>
        <w:pStyle w:val="references"/>
      </w:pPr>
      <w:r>
        <w:t xml:space="preserve">[15] J. M. Deschamps, G. J. A. Bioul, and G. D. Sutter, “Using simulation to estimate critical paths and survival functions in aircraft turnaround processes,” J. Air Transp. Manag., 2025.</w:t>
      </w:r>
    </w:p>
    <w:p>
      <w:pPr>
        <w:pStyle w:val="references"/>
      </w:pPr>
      <w:r>
        <w:t xml:space="preserve">[16] Y. F. Feng and Z. W. Li, “Liveness analysis and deadlock control for automated manufacturing systems with multiple resource requirements,” IEEE Trans. Syst. Man Cybern., vol. 50, 2020.</w:t>
      </w:r>
    </w:p>
    <w:p>
      <w:pPr>
        <w:pStyle w:val="references"/>
      </w:pPr>
      <w:r>
        <w:t xml:space="preserve">[17] M. Uzam, Z. W. Li, and A. C. Cavone, “Deadlock and livelock studies based on reachability graph of Petri nets using TINA,” in Proc. ETFA, 2024.</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3A726F61" w14:textId="77777777" w:rsidR="00E410A0" w:rsidRDefault="00E410A0" w:rsidP="001A3B3D">
      <w:r>
        <w:separator/>
      </w:r>
    </w:p>
  </w:endnote>
  <w:endnote w:type="continuationSeparator" w:id="0">
    <w:p w14:paraId="34C33779" w14:textId="77777777" w:rsidR="00E410A0" w:rsidRDefault="00E410A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Angsana New">
    <w:panose1 w:val="02020603050405020304"/>
    <w:charset w:characterSet="windows-874"/>
    <w:family w:val="roman"/>
    <w:pitch w:val="variable"/>
    <w:sig w:usb0="81000003" w:usb1="00000000" w:usb2="00000000" w:usb3="00000000" w:csb0="00010001" w:csb1="00000000"/>
  </w:font>
  <w:font w:name="Cambria Math">
    <w:panose1 w:val="02040503050406030204"/>
    <w:charset w:characterSet="iso-8859-1"/>
    <w:family w:val="roman"/>
    <w:pitch w:val="variable"/>
    <w:sig w:usb0="E00002FF" w:usb1="420024FF" w:usb2="00000000" w:usb3="00000000" w:csb0="0000019F" w:csb1="00000000"/>
  </w:font>
  <w:font w:name="NimbusRomNo9L-Regu">
    <w:altName w:val="Yu Gothic"/>
    <w:panose1 w:val="020B0604020202020204"/>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 w:name="Cordia New">
    <w:panose1 w:val="020B0304020202020204"/>
    <w:charset w:characterSet="iso-8859-1"/>
    <w:family w:val="swiss"/>
    <w:pitch w:val="variable"/>
    <w:sig w:usb0="81000003" w:usb1="00000000" w:usb2="00000000" w:usb3="00000000" w:csb0="00010001"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07E194AE" w14:textId="77777777" w:rsidR="00E410A0" w:rsidRDefault="00E410A0" w:rsidP="001A3B3D">
      <w:r>
        <w:separator/>
      </w:r>
    </w:p>
  </w:footnote>
  <w:footnote w:type="continuationSeparator" w:id="0">
    <w:p w14:paraId="5E252913" w14:textId="77777777" w:rsidR="00E410A0" w:rsidRDefault="00E410A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444692A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lang w:val="x-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2122"/>
    <w:rsid w:val="00042ED3"/>
    <w:rsid w:val="0004781E"/>
    <w:rsid w:val="00086506"/>
    <w:rsid w:val="0008758A"/>
    <w:rsid w:val="000C1E68"/>
    <w:rsid w:val="000E7950"/>
    <w:rsid w:val="000F725C"/>
    <w:rsid w:val="00156D5B"/>
    <w:rsid w:val="001A2EFD"/>
    <w:rsid w:val="001A3B3D"/>
    <w:rsid w:val="001B67DC"/>
    <w:rsid w:val="002254A9"/>
    <w:rsid w:val="00233D97"/>
    <w:rsid w:val="002347A2"/>
    <w:rsid w:val="00280DF7"/>
    <w:rsid w:val="002850E3"/>
    <w:rsid w:val="002A118B"/>
    <w:rsid w:val="002A6222"/>
    <w:rsid w:val="002E5742"/>
    <w:rsid w:val="00327D30"/>
    <w:rsid w:val="00354FCF"/>
    <w:rsid w:val="00371F4B"/>
    <w:rsid w:val="003A19E2"/>
    <w:rsid w:val="003B2B40"/>
    <w:rsid w:val="003B4E04"/>
    <w:rsid w:val="003E30CF"/>
    <w:rsid w:val="003F5A08"/>
    <w:rsid w:val="00420716"/>
    <w:rsid w:val="004325FB"/>
    <w:rsid w:val="004432BA"/>
    <w:rsid w:val="0044407E"/>
    <w:rsid w:val="00447BB9"/>
    <w:rsid w:val="0046031D"/>
    <w:rsid w:val="004737DB"/>
    <w:rsid w:val="00473AC9"/>
    <w:rsid w:val="0048416B"/>
    <w:rsid w:val="004A71C3"/>
    <w:rsid w:val="004D72B5"/>
    <w:rsid w:val="00551B7F"/>
    <w:rsid w:val="0056610F"/>
    <w:rsid w:val="00575BCA"/>
    <w:rsid w:val="005B0344"/>
    <w:rsid w:val="005B520E"/>
    <w:rsid w:val="005C51B4"/>
    <w:rsid w:val="005E2800"/>
    <w:rsid w:val="00605825"/>
    <w:rsid w:val="00645D22"/>
    <w:rsid w:val="00651A08"/>
    <w:rsid w:val="00654204"/>
    <w:rsid w:val="00670434"/>
    <w:rsid w:val="00677BC9"/>
    <w:rsid w:val="00696965"/>
    <w:rsid w:val="006A5D82"/>
    <w:rsid w:val="006B6B66"/>
    <w:rsid w:val="006F6D3D"/>
    <w:rsid w:val="00715BEA"/>
    <w:rsid w:val="00740EEA"/>
    <w:rsid w:val="00794804"/>
    <w:rsid w:val="007A5860"/>
    <w:rsid w:val="007B33F1"/>
    <w:rsid w:val="007B6DDA"/>
    <w:rsid w:val="007C0308"/>
    <w:rsid w:val="007C2FF2"/>
    <w:rsid w:val="007D6232"/>
    <w:rsid w:val="007F1F99"/>
    <w:rsid w:val="007F768F"/>
    <w:rsid w:val="0080791D"/>
    <w:rsid w:val="008147B5"/>
    <w:rsid w:val="008275E0"/>
    <w:rsid w:val="00836367"/>
    <w:rsid w:val="008423CF"/>
    <w:rsid w:val="00873603"/>
    <w:rsid w:val="00880834"/>
    <w:rsid w:val="008963C0"/>
    <w:rsid w:val="008A2C7D"/>
    <w:rsid w:val="008B6524"/>
    <w:rsid w:val="008C4B23"/>
    <w:rsid w:val="008F6E2C"/>
    <w:rsid w:val="009303D9"/>
    <w:rsid w:val="00933C64"/>
    <w:rsid w:val="009621C6"/>
    <w:rsid w:val="00972203"/>
    <w:rsid w:val="009F1D79"/>
    <w:rsid w:val="00A059B3"/>
    <w:rsid w:val="00AC0EA6"/>
    <w:rsid w:val="00AE3409"/>
    <w:rsid w:val="00B11A60"/>
    <w:rsid w:val="00B20F26"/>
    <w:rsid w:val="00B22613"/>
    <w:rsid w:val="00B36831"/>
    <w:rsid w:val="00B44A76"/>
    <w:rsid w:val="00B533FB"/>
    <w:rsid w:val="00B768D1"/>
    <w:rsid w:val="00BA1025"/>
    <w:rsid w:val="00BC3420"/>
    <w:rsid w:val="00BD670B"/>
    <w:rsid w:val="00BE7D3C"/>
    <w:rsid w:val="00BF5FF6"/>
    <w:rsid w:val="00C0207F"/>
    <w:rsid w:val="00C16117"/>
    <w:rsid w:val="00C3075A"/>
    <w:rsid w:val="00C35D67"/>
    <w:rsid w:val="00C41218"/>
    <w:rsid w:val="00C919A4"/>
    <w:rsid w:val="00CA4392"/>
    <w:rsid w:val="00CA7DF2"/>
    <w:rsid w:val="00CC393F"/>
    <w:rsid w:val="00D2176E"/>
    <w:rsid w:val="00D632BE"/>
    <w:rsid w:val="00D72D06"/>
    <w:rsid w:val="00D7522C"/>
    <w:rsid w:val="00D7536F"/>
    <w:rsid w:val="00D76668"/>
    <w:rsid w:val="00DA17F9"/>
    <w:rsid w:val="00E07383"/>
    <w:rsid w:val="00E165BC"/>
    <w:rsid w:val="00E26E39"/>
    <w:rsid w:val="00E410A0"/>
    <w:rsid w:val="00E61E12"/>
    <w:rsid w:val="00E7596C"/>
    <w:rsid w:val="00E878F2"/>
    <w:rsid w:val="00EC5279"/>
    <w:rsid w:val="00ED0149"/>
    <w:rsid w:val="00EF7DE3"/>
    <w:rsid w:val="00F03103"/>
    <w:rsid w:val="00F271DE"/>
    <w:rsid w:val="00F627DA"/>
    <w:rsid w:val="00F7288F"/>
    <w:rsid w:val="00F74B21"/>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F74B21"/>
    <w:rPr>
      <w:color w:val="0563C1" w:themeColor="hyperlink"/>
      <w:u w:val="single"/>
    </w:rPr>
  </w:style>
  <w:style w:type="character" w:styleId="UnresolvedMention">
    <w:name w:val="Unresolved Mention"/>
    <w:basedOn w:val="DefaultParagraphFont"/>
    <w:uiPriority w:val="99"/>
    <w:semiHidden/>
    <w:unhideWhenUsed/>
    <w:rsid w:val="00F74B21"/>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arxiv.org/abs/1312.6114" TargetMode="External"/><Relationship Id="rId5" Type="http://purl.oclc.org/ooxml/officeDocument/relationships/webSettings" Target="webSettings.xml"/><Relationship Id="rId10" Type="http://purl.oclc.org/ooxml/officeDocument/relationships/hyperlink" Target="https://codeocean.com/capsule/4989235/tree" TargetMode="External"/><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110</TotalTime>
  <Pages>4</Pages>
  <Words>2536</Words>
  <Characters>14456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Titi Changpoo</cp:lastModifiedBy>
  <cp:revision>24</cp:revision>
  <dcterms:created xsi:type="dcterms:W3CDTF">2026-03-19T14:17:00Z</dcterms:created>
  <dcterms:modified xsi:type="dcterms:W3CDTF">2026-03-19T17:44:00Z</dcterms:modified>
</cp:coreProperties>
</file>