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jc w:val="center"/>
      </w:pPr>
      <w:r>
        <w:rPr>
          <w:b/>
          <w:bCs/>
          <w:i w:val="false"/>
          <w:iCs w:val="false"/>
          <w:sz w:val="28"/>
          <w:szCs w:val="28"/>
        </w:rPr>
        <w:t xml:space="preserve">SWD392 – SOFTWARE ARCHITECTURE AND DESIGN</w:t>
      </w:r>
    </w:p>
    <w:p>
      <w:pPr>
        <w:spacing w:after="240"/>
        <w:jc w:val="center"/>
      </w:pPr>
      <w:r>
        <w:rPr>
          <w:b w:val="false"/>
          <w:bCs w:val="false"/>
          <w:i w:val="false"/>
          <w:iCs w:val="false"/>
          <w:sz w:val="24"/>
          <w:szCs w:val="24"/>
        </w:rPr>
        <w:t xml:space="preserve">PROJECT ASSIGNMENT / LAB</w:t>
      </w:r>
    </w:p>
    <w:p>
      <w:r>
        <w:t xml:space="preserve"/>
      </w:r>
    </w:p>
    <w:p>
      <w:r>
        <w:t xml:space="preserve"/>
      </w:r>
    </w:p>
    <w:p>
      <w:pPr>
        <w:spacing w:after="60"/>
        <w:jc w:val="center"/>
      </w:pPr>
      <w:r>
        <w:rPr>
          <w:b/>
          <w:bCs/>
          <w:i w:val="false"/>
          <w:iCs w:val="false"/>
          <w:sz w:val="56"/>
          <w:szCs w:val="56"/>
        </w:rPr>
        <w:t xml:space="preserve">EBANK LOGIN SYSTEM</w:t>
      </w:r>
    </w:p>
    <w:p>
      <w:pPr>
        <w:spacing w:after="240"/>
        <w:jc w:val="center"/>
      </w:pPr>
      <w:r>
        <w:rPr>
          <w:b w:val="false"/>
          <w:bCs w:val="false"/>
          <w:i/>
          <w:iCs/>
          <w:sz w:val="28"/>
          <w:szCs w:val="28"/>
        </w:rPr>
        <w:t xml:space="preserve">TienPhong Bank – Ebank Project</w:t>
      </w:r>
    </w:p>
    <w:p>
      <w:r>
        <w:t xml:space="preserve"/>
      </w:r>
    </w:p>
    <w:p>
      <w:pPr>
        <w:spacing w:after="60"/>
        <w:jc w:val="center"/>
      </w:pPr>
      <w:r>
        <w:rPr>
          <w:b/>
          <w:bCs/>
          <w:i w:val="false"/>
          <w:iCs w:val="false"/>
          <w:sz w:val="34"/>
          <w:szCs w:val="34"/>
        </w:rPr>
        <w:t xml:space="preserve">Assignment 02 – Analysis Model</w:t>
      </w:r>
    </w:p>
    <w:p>
      <w:pPr>
        <w:spacing w:after="240"/>
        <w:jc w:val="center"/>
      </w:pPr>
      <w:r>
        <w:rPr>
          <w:b w:val="false"/>
          <w:bCs w:val="false"/>
          <w:i/>
          <w:iCs/>
          <w:sz w:val="26"/>
          <w:szCs w:val="26"/>
        </w:rPr>
        <w:t xml:space="preserve">Static &amp; Dynamic Modeling</w:t>
      </w:r>
    </w:p>
    <w:p>
      <w:r>
        <w:t xml:space="preserve"/>
      </w:r>
    </w:p>
    <w:p>
      <w:r>
        <w:t xml:space="preserve"/>
      </w:r>
    </w:p>
    <w:p>
      <w:pPr>
        <w:spacing w:after="60"/>
        <w:jc w:val="center"/>
      </w:pPr>
      <w:r>
        <w:rPr>
          <w:b w:val="false"/>
          <w:bCs w:val="false"/>
          <w:i w:val="false"/>
          <w:iCs w:val="false"/>
          <w:sz w:val="26"/>
          <w:szCs w:val="26"/>
        </w:rPr>
        <w:t xml:space="preserve">Student:  &lt;Full Name&gt;</w:t>
      </w:r>
    </w:p>
    <w:p>
      <w:pPr>
        <w:spacing w:after="60"/>
        <w:jc w:val="center"/>
      </w:pPr>
      <w:r>
        <w:rPr>
          <w:b w:val="false"/>
          <w:bCs w:val="false"/>
          <w:i w:val="false"/>
          <w:iCs w:val="false"/>
          <w:sz w:val="26"/>
          <w:szCs w:val="26"/>
        </w:rPr>
        <w:t xml:space="preserve">Roll Number:  &lt;RollNumber&gt;</w:t>
      </w:r>
    </w:p>
    <w:p>
      <w:pPr>
        <w:spacing w:after="60"/>
        <w:jc w:val="center"/>
      </w:pPr>
      <w:r>
        <w:rPr>
          <w:b w:val="false"/>
          <w:bCs w:val="false"/>
          <w:i w:val="false"/>
          <w:iCs w:val="false"/>
          <w:sz w:val="26"/>
          <w:szCs w:val="26"/>
        </w:rPr>
        <w:t xml:space="preserve">Class:  &lt;Class&gt;</w:t>
      </w:r>
    </w:p>
    <w:p>
      <w:pPr>
        <w:spacing w:after="240"/>
        <w:jc w:val="center"/>
      </w:pPr>
      <w:r>
        <w:rPr>
          <w:b w:val="false"/>
          <w:bCs w:val="false"/>
          <w:i w:val="false"/>
          <w:iCs w:val="false"/>
          <w:sz w:val="26"/>
          <w:szCs w:val="26"/>
        </w:rPr>
        <w:t xml:space="preserve">Lecturer:  &lt;Lecturer&gt;</w:t>
      </w:r>
    </w:p>
    <w:p>
      <w:r>
        <w:t xml:space="preserve"/>
      </w:r>
    </w:p>
    <w:p>
      <w:r>
        <w:t xml:space="preserve"/>
      </w:r>
    </w:p>
    <w:p>
      <w:r>
        <w:t xml:space="preserve"/>
      </w:r>
    </w:p>
    <w:p>
      <w:pPr>
        <w:spacing w:after="80"/>
        <w:jc w:val="center"/>
      </w:pPr>
      <w:r>
        <w:rPr>
          <w:b w:val="false"/>
          <w:bCs w:val="false"/>
          <w:i/>
          <w:iCs/>
          <w:sz w:val="26"/>
          <w:szCs w:val="26"/>
        </w:rPr>
        <w:t xml:space="preserve">— Hanoi, June 2026 —</w:t>
      </w:r>
    </w:p>
    <w:p>
      <w:r>
        <w:br w:type="page"/>
      </w:r>
    </w:p>
    <w:p>
      <w:pPr>
        <w:spacing w:after="160"/>
      </w:pPr>
      <w:r>
        <w:rPr>
          <w:b/>
          <w:bCs/>
          <w:i w:val="false"/>
          <w:iCs w:val="false"/>
          <w:sz w:val="30"/>
          <w:szCs w:val="30"/>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r>
        <w:br w:type="page"/>
      </w:r>
    </w:p>
    <w:p>
      <w:pPr>
        <w:pStyle w:val="Heading1"/>
        <w:spacing w:after="120" w:before="240"/>
      </w:pPr>
      <w:r>
        <w:rPr>
          <w:b w:val="false"/>
          <w:bCs w:val="false"/>
          <w:i w:val="false"/>
          <w:iCs w:val="false"/>
        </w:rPr>
        <w:t xml:space="preserve">I. Record of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2300"/>
        <w:gridCol w:w="3826"/>
      </w:tblGrid>
      <w:tr>
        <w:trPr>
          <w:tblHeader/>
        </w:trPr>
        <w:tc>
          <w:tcPr>
            <w:tcW w:type="dxa" w:w="15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Date</w:t>
            </w:r>
          </w:p>
        </w:tc>
        <w:tc>
          <w:tcPr>
            <w:tcW w:type="dxa" w:w="14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A* / M, D</w:t>
            </w:r>
          </w:p>
        </w:tc>
        <w:tc>
          <w:tcPr>
            <w:tcW w:type="dxa" w:w="23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In charge</w:t>
            </w:r>
          </w:p>
        </w:tc>
        <w:tc>
          <w:tcPr>
            <w:tcW w:type="dxa" w:w="38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Change Description</w:t>
            </w:r>
          </w:p>
        </w:tc>
      </w:tr>
      <w:tr>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21/06/2026</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w:t>
            </w:r>
          </w:p>
        </w:tc>
        <w:tc>
          <w:tcPr>
            <w:tcW w:type="dxa" w:w="2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&lt;Student Name&gt;</w:t>
            </w:r>
          </w:p>
        </w:tc>
        <w:tc>
          <w:tcPr>
            <w:tcW w:type="dxa" w:w="38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Initial version – Analysis Model for the Ebank Login System.</w:t>
            </w:r>
          </w:p>
        </w:tc>
      </w:tr>
      <w:tr>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06/07/2026</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M</w:t>
            </w:r>
          </w:p>
        </w:tc>
        <w:tc>
          <w:tcPr>
            <w:tcW w:type="dxa" w:w="2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&lt;Student Name&gt;</w:t>
            </w:r>
          </w:p>
        </w:tc>
        <w:tc>
          <w:tcPr>
            <w:tcW w:type="dxa" w:w="38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Aligned with the design/implementation: the Login control class is named Ebank (formerly EbankService).</w:t>
            </w:r>
          </w:p>
        </w:tc>
      </w:tr>
    </w:tbl>
    <w:p>
      <w:pPr>
        <w:spacing w:after="160"/>
      </w:pPr>
      <w:r>
        <w:rPr>
          <w:b w:val="false"/>
          <w:bCs w:val="false"/>
          <w:i/>
          <w:iCs/>
        </w:rPr>
        <w:t xml:space="preserve">*A - Added   M - Modified   D - Deleted</w:t>
      </w:r>
    </w:p>
    <w:p>
      <w:pPr>
        <w:pStyle w:val="Heading1"/>
        <w:spacing w:after="120" w:before="240"/>
      </w:pPr>
      <w:r>
        <w:rPr>
          <w:b w:val="false"/>
          <w:bCs w:val="false"/>
          <w:i w:val="false"/>
          <w:iCs w:val="false"/>
        </w:rPr>
        <w:t xml:space="preserve">II. Static Modeling</w:t>
      </w:r>
    </w:p>
    <w:p>
      <w:pPr>
        <w:pStyle w:val="Heading2"/>
        <w:spacing w:after="100" w:before="200"/>
      </w:pPr>
      <w:r>
        <w:rPr>
          <w:b w:val="false"/>
          <w:bCs w:val="false"/>
          <w:i w:val="false"/>
          <w:iCs w:val="false"/>
        </w:rPr>
        <w:t xml:space="preserve">1. Context Modeling</w:t>
      </w:r>
    </w:p>
    <w:p>
      <w:pPr>
        <w:spacing w:after="120"/>
      </w:pPr>
      <w:r>
        <w:rPr>
          <w:b w:val="false"/>
          <w:bCs w:val="false"/>
          <w:i w:val="false"/>
          <w:iCs w:val="false"/>
        </w:rPr>
        <w:t xml:space="preserve">Static modeling defines the boundary of the system and the external entities with which it exchanges data. The Ebank Login System interacts with one human actor (the User) and three external data stores: the account store (accounts.csv), the activity log (log.txt), and the language resource files (En.properties / Vi.properties). The context model below summarizes these boundaries.</w:t>
      </w:r>
    </w:p>
    <w:p>
      <w:pPr>
        <w:spacing w:after="40" w:before="80"/>
        <w:jc w:val="center"/>
      </w:pPr>
      <w:r>
        <w:drawing>
          <wp:inline distT="0" distB="0" distL="0" distR="0">
            <wp:extent cx="5715000" cy="1647825"/>
            <wp:effectExtent t="0" r="0" b="0" l="0"/>
            <wp:docPr id="1" name="01_context.png" descr="01_context.png" title="01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160"/>
        <w:jc w:val="center"/>
      </w:pPr>
      <w:r>
        <w:rPr>
          <w:i/>
          <w:iCs/>
          <w:sz w:val="20"/>
          <w:szCs w:val="20"/>
        </w:rPr>
        <w:t xml:space="preserve">Figure 1. Context Model – Ebank Login System</w:t>
      </w:r>
    </w:p>
    <w:p>
      <w:pPr>
        <w:pStyle w:val="Heading2"/>
        <w:spacing w:after="100" w:before="200"/>
      </w:pPr>
      <w:r>
        <w:rPr>
          <w:b w:val="false"/>
          <w:bCs w:val="false"/>
          <w:i w:val="false"/>
          <w:iCs w:val="false"/>
        </w:rPr>
        <w:t xml:space="preserve">2. Entity Classes</w:t>
      </w:r>
    </w:p>
    <w:p>
      <w:pPr>
        <w:spacing w:after="120"/>
      </w:pPr>
      <w:r>
        <w:rPr>
          <w:b w:val="false"/>
          <w:bCs w:val="false"/>
          <w:i w:val="false"/>
          <w:iCs w:val="false"/>
        </w:rPr>
        <w:t xml:space="preserve">The analysis identifies a single persistent business entity: Account. It is the only data the system stores and retrieves, and it is persisted as rows in accounts.csv. The activity log (log.txt) holds event records but is write-only and is therefore not modeled as a business entity.</w:t>
      </w:r>
    </w:p>
    <w:p>
      <w:pPr>
        <w:spacing w:after="40" w:before="80"/>
        <w:jc w:val="center"/>
      </w:pPr>
      <w:r>
        <w:drawing>
          <wp:inline distT="0" distB="0" distL="0" distR="0">
            <wp:extent cx="4238625" cy="1371600"/>
            <wp:effectExtent t="0" r="0" b="0" l="0"/>
            <wp:docPr id="1" name="06_entity_class.png" descr="06_entity_class.png" title="06_entity_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38625" cy="1371600"/>
                    </a:xfrm>
                    <a:prstGeom prst="rect">
                      <a:avLst/>
                    </a:prstGeom>
                  </pic:spPr>
                </pic:pic>
              </a:graphicData>
            </a:graphic>
          </wp:inline>
        </w:drawing>
      </w:r>
    </w:p>
    <w:p>
      <w:pPr>
        <w:spacing w:after="160"/>
        <w:jc w:val="center"/>
      </w:pPr>
      <w:r>
        <w:rPr>
          <w:i/>
          <w:iCs/>
          <w:sz w:val="20"/>
          <w:szCs w:val="20"/>
        </w:rPr>
        <w:t xml:space="preserve">Figure 2. Entity Class –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226"/>
      </w:tblGrid>
      <w:tr>
        <w:trPr>
          <w:tblHeader/>
        </w:trPr>
        <w:tc>
          <w:tcPr>
            <w:tcW w:type="dxa" w:w="22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Attribute</w:t>
            </w:r>
          </w:p>
        </w:tc>
        <w:tc>
          <w:tcPr>
            <w:tcW w:type="dxa" w:w="16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Type</w:t>
            </w:r>
          </w:p>
        </w:tc>
        <w:tc>
          <w:tcPr>
            <w:tcW w:type="dxa" w:w="52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Description</w:t>
            </w:r>
          </w:p>
        </w:tc>
      </w:tr>
      <w:tr>
        <w:tc>
          <w:tcPr>
            <w:tcW w:type="dxa" w:w="2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accountNumber</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String</w:t>
            </w:r>
          </w:p>
        </w:tc>
        <w:tc>
          <w:tcPr>
            <w:tcW w:type="dxa" w:w="52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Unique 10-digit account identifier (acts as the key).</w:t>
            </w:r>
          </w:p>
        </w:tc>
      </w:tr>
      <w:tr>
        <w:tc>
          <w:tcPr>
            <w:tcW w:type="dxa" w:w="2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password</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String</w:t>
            </w:r>
          </w:p>
        </w:tc>
        <w:tc>
          <w:tcPr>
            <w:tcW w:type="dxa" w:w="52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 password (stored as plain text in the sample data set).</w:t>
            </w:r>
          </w:p>
        </w:tc>
      </w:tr>
      <w:tr>
        <w:tc>
          <w:tcPr>
            <w:tcW w:type="dxa" w:w="2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status</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String</w:t>
            </w:r>
          </w:p>
        </w:tc>
        <w:tc>
          <w:tcPr>
            <w:tcW w:type="dxa" w:w="52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 state: ACTIVE or LOCKED. Only ACTIVE accounts may log in.</w:t>
            </w:r>
          </w:p>
        </w:tc>
      </w:tr>
    </w:tbl>
    <w:p>
      <w:pPr>
        <w:pStyle w:val="Heading1"/>
        <w:spacing w:after="120" w:before="240"/>
      </w:pPr>
      <w:r>
        <w:rPr>
          <w:b w:val="false"/>
          <w:bCs w:val="false"/>
          <w:i w:val="false"/>
          <w:iCs w:val="false"/>
        </w:rPr>
        <w:t xml:space="preserve">III. Object &amp; Class Structuring</w:t>
      </w:r>
    </w:p>
    <w:p>
      <w:pPr>
        <w:pStyle w:val="Heading2"/>
        <w:spacing w:after="100" w:before="200"/>
      </w:pPr>
      <w:r>
        <w:rPr>
          <w:b w:val="false"/>
          <w:bCs w:val="false"/>
          <w:i w:val="false"/>
          <w:iCs w:val="false"/>
        </w:rPr>
        <w:t xml:space="preserve">1. Login</w:t>
      </w:r>
    </w:p>
    <w:p>
      <w:pPr>
        <w:pStyle w:val="Heading3"/>
        <w:spacing w:after="80" w:before="160"/>
      </w:pPr>
      <w:r>
        <w:rPr>
          <w:b w:val="false"/>
          <w:bCs w:val="false"/>
          <w:i w:val="false"/>
          <w:iCs w:val="false"/>
        </w:rPr>
        <w:t xml:space="preserve">a. Class Diagram</w:t>
      </w:r>
    </w:p>
    <w:p>
      <w:pPr>
        <w:spacing w:after="120"/>
      </w:pPr>
      <w:r>
        <w:rPr>
          <w:b w:val="false"/>
          <w:bCs w:val="false"/>
          <w:i w:val="false"/>
          <w:iCs w:val="false"/>
        </w:rPr>
        <w:t xml:space="preserve">The robustness (View of Participating Classes) diagram below shows the boundary, control and entity objects that collaborate to realize the Login use case.</w:t>
      </w:r>
    </w:p>
    <w:p>
      <w:pPr>
        <w:spacing w:after="40" w:before="80"/>
        <w:jc w:val="center"/>
      </w:pPr>
      <w:r>
        <w:drawing>
          <wp:inline distT="0" distB="0" distL="0" distR="0">
            <wp:extent cx="4886325" cy="4133850"/>
            <wp:effectExtent t="0" r="0" b="0" l="0"/>
            <wp:docPr id="1" name="05_analysis_robustness_login.png" descr="05_analysis_robustness_login.png" title="05_analysis_robustness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86325" cy="4133850"/>
                    </a:xfrm>
                    <a:prstGeom prst="rect">
                      <a:avLst/>
                    </a:prstGeom>
                  </pic:spPr>
                </pic:pic>
              </a:graphicData>
            </a:graphic>
          </wp:inline>
        </w:drawing>
      </w:r>
    </w:p>
    <w:p>
      <w:pPr>
        <w:spacing w:after="160"/>
        <w:jc w:val="center"/>
      </w:pPr>
      <w:r>
        <w:rPr>
          <w:i/>
          <w:iCs/>
          <w:sz w:val="20"/>
          <w:szCs w:val="20"/>
        </w:rPr>
        <w:t xml:space="preserve">Figure 3. VOPC – Login</w:t>
      </w:r>
    </w:p>
    <w:p>
      <w:pPr>
        <w:pStyle w:val="Heading3"/>
        <w:spacing w:after="80" w:before="160"/>
      </w:pPr>
      <w:r>
        <w:rPr>
          <w:b w:val="false"/>
          <w:bCs w:val="false"/>
          <w:i w:val="false"/>
          <w:iCs w:val="false"/>
        </w:rPr>
        <w:t xml:space="preserve">b. Class Description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1450"/>
        <w:gridCol w:w="3926"/>
        <w:gridCol w:w="1800"/>
      </w:tblGrid>
      <w:tr>
        <w:trPr>
          <w:tblHeader/>
        </w:trPr>
        <w:tc>
          <w:tcPr>
            <w:tcW w:type="dxa" w:w="185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Analysis Class</w:t>
            </w:r>
          </w:p>
        </w:tc>
        <w:tc>
          <w:tcPr>
            <w:tcW w:type="dxa" w:w="145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Stereotype</w:t>
            </w:r>
          </w:p>
        </w:tc>
        <w:tc>
          <w:tcPr>
            <w:tcW w:type="dxa" w:w="39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Responsibility</w:t>
            </w:r>
          </w:p>
        </w:tc>
        <w:tc>
          <w:tcPr>
            <w:tcW w:type="dxa" w:w="18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Realized by</w:t>
            </w:r>
          </w:p>
        </w:tc>
      </w:tr>
      <w:tr>
        <w:tc>
          <w:tcPr>
            <w:tcW w:type="dxa" w:w="18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LoginScreen</w:t>
            </w:r>
          </w:p>
        </w:tc>
        <w:tc>
          <w:tcPr>
            <w:tcW w:type="dxa" w:w="14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«boundary»</w:t>
            </w:r>
          </w:p>
        </w:tc>
        <w:tc>
          <w:tcPr>
            <w:tcW w:type="dxa" w:w="39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Handles all console interaction for login: shows prompts, reads account number, password and captcha, and displays results.</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Main, LoginUI</w:t>
            </w:r>
          </w:p>
        </w:tc>
      </w:tr>
      <w:tr>
        <w:tc>
          <w:tcPr>
            <w:tcW w:type="dxa" w:w="18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LoginController</w:t>
            </w:r>
          </w:p>
        </w:tc>
        <w:tc>
          <w:tcPr>
            <w:tcW w:type="dxa" w:w="14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«control»</w:t>
            </w:r>
          </w:p>
        </w:tc>
        <w:tc>
          <w:tcPr>
            <w:tcW w:type="dxa" w:w="39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Orchestrates the Login use case: coordinates validation, captcha generation, authentication and event logging.</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Ebank</w:t>
            </w:r>
          </w:p>
        </w:tc>
      </w:tr>
      <w:tr>
        <w:tc>
          <w:tcPr>
            <w:tcW w:type="dxa" w:w="18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ValidationController</w:t>
            </w:r>
          </w:p>
        </w:tc>
        <w:tc>
          <w:tcPr>
            <w:tcW w:type="dxa" w:w="14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«control»</w:t>
            </w:r>
          </w:p>
        </w:tc>
        <w:tc>
          <w:tcPr>
            <w:tcW w:type="dxa" w:w="39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Validates the format of account number, password and captcha; returns localized error messages.</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ValidatorService</w:t>
            </w:r>
          </w:p>
        </w:tc>
      </w:tr>
      <w:tr>
        <w:tc>
          <w:tcPr>
            <w:tcW w:type="dxa" w:w="18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LanguageController</w:t>
            </w:r>
          </w:p>
        </w:tc>
        <w:tc>
          <w:tcPr>
            <w:tcW w:type="dxa" w:w="14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«control»</w:t>
            </w:r>
          </w:p>
        </w:tc>
        <w:tc>
          <w:tcPr>
            <w:tcW w:type="dxa" w:w="39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Loads the selected language bundle and supplies localized messages.</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LanguageService</w:t>
            </w:r>
          </w:p>
        </w:tc>
      </w:tr>
      <w:tr>
        <w:tc>
          <w:tcPr>
            <w:tcW w:type="dxa" w:w="18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AccountStore</w:t>
            </w:r>
          </w:p>
        </w:tc>
        <w:tc>
          <w:tcPr>
            <w:tcW w:type="dxa" w:w="14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«control» (DAO)</w:t>
            </w:r>
          </w:p>
        </w:tc>
        <w:tc>
          <w:tcPr>
            <w:tcW w:type="dxa" w:w="39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Retrieves accounts from the data store and appends login events to the log.</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AccountDAO, FileHelper</w:t>
            </w:r>
          </w:p>
        </w:tc>
      </w:tr>
      <w:tr>
        <w:tc>
          <w:tcPr>
            <w:tcW w:type="dxa" w:w="18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w:t>
            </w:r>
          </w:p>
        </w:tc>
        <w:tc>
          <w:tcPr>
            <w:tcW w:type="dxa" w:w="145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«entity»</w:t>
            </w:r>
          </w:p>
        </w:tc>
        <w:tc>
          <w:tcPr>
            <w:tcW w:type="dxa" w:w="39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Represents a bank account (account number, password, status).</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w:t>
            </w:r>
          </w:p>
        </w:tc>
      </w:tr>
    </w:tbl>
    <w:p>
      <w:pPr>
        <w:pStyle w:val="Heading2"/>
        <w:spacing w:after="100" w:before="200"/>
      </w:pPr>
      <w:r>
        <w:rPr>
          <w:b w:val="false"/>
          <w:bCs w:val="false"/>
          <w:i w:val="false"/>
          <w:iCs w:val="false"/>
        </w:rPr>
        <w:t xml:space="preserve">2. Select Language</w:t>
      </w:r>
    </w:p>
    <w:p>
      <w:pPr>
        <w:pStyle w:val="Heading3"/>
        <w:spacing w:after="80" w:before="160"/>
      </w:pPr>
      <w:r>
        <w:rPr>
          <w:b w:val="false"/>
          <w:bCs w:val="false"/>
          <w:i w:val="false"/>
          <w:iCs w:val="false"/>
        </w:rPr>
        <w:t xml:space="preserve">a. Class Diagram</w:t>
      </w:r>
    </w:p>
    <w:p>
      <w:pPr>
        <w:spacing w:after="120"/>
      </w:pPr>
      <w:r>
        <w:rPr>
          <w:b w:val="false"/>
          <w:bCs w:val="false"/>
          <w:i w:val="false"/>
          <w:iCs w:val="false"/>
        </w:rPr>
        <w:t xml:space="preserve">Selecting a language involves a boundary object (the menu screen), a control object that switches the locale, and the language resource that it loads.</w:t>
      </w:r>
    </w:p>
    <w:p>
      <w:pPr>
        <w:spacing w:after="40" w:before="80"/>
        <w:jc w:val="center"/>
      </w:pPr>
      <w:r>
        <w:drawing>
          <wp:inline distT="0" distB="0" distL="0" distR="0">
            <wp:extent cx="4267200" cy="3048000"/>
            <wp:effectExtent t="0" r="0" b="0" l="0"/>
            <wp:docPr id="1" name="17_analysis_language.png" descr="17_analysis_language.png" title="17_analysis_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67200" cy="3048000"/>
                    </a:xfrm>
                    <a:prstGeom prst="rect">
                      <a:avLst/>
                    </a:prstGeom>
                  </pic:spPr>
                </pic:pic>
              </a:graphicData>
            </a:graphic>
          </wp:inline>
        </w:drawing>
      </w:r>
    </w:p>
    <w:p>
      <w:pPr>
        <w:spacing w:after="160"/>
        <w:jc w:val="center"/>
      </w:pPr>
      <w:r>
        <w:rPr>
          <w:i/>
          <w:iCs/>
          <w:sz w:val="20"/>
          <w:szCs w:val="20"/>
        </w:rPr>
        <w:t xml:space="preserve">Figure 4. VOPC – Select Language</w:t>
      </w:r>
    </w:p>
    <w:p>
      <w:pPr>
        <w:spacing w:after="120"/>
      </w:pPr>
      <w:r>
        <w:rPr>
          <w:b w:val="false"/>
          <w:bCs w:val="false"/>
          <w:i w:val="false"/>
          <w:iCs w:val="false"/>
        </w:rPr>
        <w:t xml:space="preserve">MenuScreen (boundary) is realized by Main; LanguageController (control) by LanguageService; LanguageBundle (entity) by the loaded En/Vi.properties resource bundle.</w:t>
      </w:r>
    </w:p>
    <w:p>
      <w:pPr>
        <w:pStyle w:val="Heading1"/>
        <w:spacing w:after="120" w:before="240"/>
      </w:pPr>
      <w:r>
        <w:rPr>
          <w:b w:val="false"/>
          <w:bCs w:val="false"/>
          <w:i w:val="false"/>
          <w:iCs w:val="false"/>
        </w:rPr>
        <w:t xml:space="preserve">IV. Dynamic Interaction Modeling</w:t>
      </w:r>
    </w:p>
    <w:p>
      <w:pPr>
        <w:pStyle w:val="Heading2"/>
        <w:spacing w:after="100" w:before="200"/>
      </w:pPr>
      <w:r>
        <w:rPr>
          <w:b w:val="false"/>
          <w:bCs w:val="false"/>
          <w:i w:val="false"/>
          <w:iCs w:val="false"/>
        </w:rPr>
        <w:t xml:space="preserve">1. Login</w:t>
      </w:r>
    </w:p>
    <w:p>
      <w:pPr>
        <w:pStyle w:val="Heading3"/>
        <w:spacing w:after="80" w:before="160"/>
      </w:pPr>
      <w:r>
        <w:rPr>
          <w:b w:val="false"/>
          <w:bCs w:val="false"/>
          <w:i w:val="false"/>
          <w:iCs w:val="false"/>
        </w:rPr>
        <w:t xml:space="preserve">a. Communication Diagram</w:t>
      </w:r>
    </w:p>
    <w:p>
      <w:pPr>
        <w:spacing w:after="120"/>
      </w:pPr>
      <w:r>
        <w:rPr>
          <w:b w:val="false"/>
          <w:bCs w:val="false"/>
          <w:i w:val="false"/>
          <w:iCs w:val="false"/>
        </w:rPr>
        <w:t xml:space="preserve">The communication diagram below shows the numbered message exchange between the participating objects during a login attempt.</w:t>
      </w:r>
    </w:p>
    <w:p>
      <w:pPr>
        <w:spacing w:after="40" w:before="80"/>
        <w:jc w:val="center"/>
      </w:pPr>
      <w:r>
        <w:drawing>
          <wp:inline distT="0" distB="0" distL="0" distR="0">
            <wp:extent cx="5715000" cy="2124075"/>
            <wp:effectExtent t="0" r="0" b="0" l="0"/>
            <wp:docPr id="1" name="07_communication_login.png" descr="07_communication_login.png" title="07_communication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124075"/>
                    </a:xfrm>
                    <a:prstGeom prst="rect">
                      <a:avLst/>
                    </a:prstGeom>
                  </pic:spPr>
                </pic:pic>
              </a:graphicData>
            </a:graphic>
          </wp:inline>
        </w:drawing>
      </w:r>
    </w:p>
    <w:p>
      <w:pPr>
        <w:spacing w:after="160"/>
        <w:jc w:val="center"/>
      </w:pPr>
      <w:r>
        <w:rPr>
          <w:i/>
          <w:iCs/>
          <w:sz w:val="20"/>
          <w:szCs w:val="20"/>
        </w:rPr>
        <w:t xml:space="preserve">Figure 5. Communication Diagram – Login</w:t>
      </w:r>
    </w:p>
    <w:p>
      <w:pPr>
        <w:pStyle w:val="Heading3"/>
        <w:spacing w:after="80" w:before="160"/>
      </w:pPr>
      <w:r>
        <w:rPr>
          <w:b w:val="false"/>
          <w:bCs w:val="false"/>
          <w:i w:val="false"/>
          <w:iCs w:val="false"/>
        </w:rPr>
        <w:t xml:space="preserve">b. Sequence Diagram</w:t>
      </w:r>
    </w:p>
    <w:p>
      <w:pPr>
        <w:spacing w:after="120"/>
      </w:pPr>
      <w:r>
        <w:rPr>
          <w:b w:val="false"/>
          <w:bCs w:val="false"/>
          <w:i w:val="false"/>
          <w:iCs w:val="false"/>
        </w:rPr>
        <w:t xml:space="preserve">The analysis-level sequence diagram shows the same collaboration ordered over time.</w:t>
      </w:r>
    </w:p>
    <w:p>
      <w:pPr>
        <w:spacing w:after="40" w:before="80"/>
        <w:jc w:val="center"/>
      </w:pPr>
      <w:r>
        <w:drawing>
          <wp:inline distT="0" distB="0" distL="0" distR="0">
            <wp:extent cx="5715000" cy="3038475"/>
            <wp:effectExtent t="0" r="0" b="0" l="0"/>
            <wp:docPr id="1" name="08_sequence_login_analysis.png" descr="08_sequence_login_analysis.png" title="08_sequence_login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38475"/>
                    </a:xfrm>
                    <a:prstGeom prst="rect">
                      <a:avLst/>
                    </a:prstGeom>
                  </pic:spPr>
                </pic:pic>
              </a:graphicData>
            </a:graphic>
          </wp:inline>
        </w:drawing>
      </w:r>
    </w:p>
    <w:p>
      <w:pPr>
        <w:spacing w:after="160"/>
        <w:jc w:val="center"/>
      </w:pPr>
      <w:r>
        <w:rPr>
          <w:i/>
          <w:iCs/>
          <w:sz w:val="20"/>
          <w:szCs w:val="20"/>
        </w:rPr>
        <w:t xml:space="preserve">Figure 6. Sequence Diagram (Analysis) – Login</w:t>
      </w:r>
    </w:p>
    <w:p>
      <w:pPr>
        <w:pStyle w:val="Heading2"/>
        <w:spacing w:after="100" w:before="200"/>
      </w:pPr>
      <w:r>
        <w:rPr>
          <w:b w:val="false"/>
          <w:bCs w:val="false"/>
          <w:i w:val="false"/>
          <w:iCs w:val="false"/>
        </w:rPr>
        <w:t xml:space="preserve">2. Select Language</w:t>
      </w:r>
    </w:p>
    <w:p>
      <w:pPr>
        <w:pStyle w:val="Heading3"/>
        <w:spacing w:after="80" w:before="160"/>
      </w:pPr>
      <w:r>
        <w:rPr>
          <w:b w:val="false"/>
          <w:bCs w:val="false"/>
          <w:i w:val="false"/>
          <w:iCs w:val="false"/>
        </w:rPr>
        <w:t xml:space="preserve">a. Communication Diagram</w:t>
      </w:r>
    </w:p>
    <w:p>
      <w:pPr>
        <w:spacing w:after="120"/>
      </w:pPr>
      <w:r>
        <w:rPr>
          <w:b w:val="false"/>
          <w:bCs w:val="false"/>
          <w:i w:val="false"/>
          <w:iCs w:val="false"/>
        </w:rPr>
        <w:t xml:space="preserve">Switching language is a short interaction: the menu screen asks the controller to set the locale, which loads the corresponding resource bundle.</w:t>
      </w:r>
    </w:p>
    <w:p>
      <w:pPr>
        <w:spacing w:after="40" w:before="80"/>
        <w:jc w:val="center"/>
      </w:pPr>
      <w:r>
        <w:drawing>
          <wp:inline distT="0" distB="0" distL="0" distR="0">
            <wp:extent cx="3771900" cy="2800350"/>
            <wp:effectExtent t="0" r="0" b="0" l="0"/>
            <wp:docPr id="1" name="18_communication_language.png" descr="18_communication_language.png" title="18_communication_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71900" cy="2800350"/>
                    </a:xfrm>
                    <a:prstGeom prst="rect">
                      <a:avLst/>
                    </a:prstGeom>
                  </pic:spPr>
                </pic:pic>
              </a:graphicData>
            </a:graphic>
          </wp:inline>
        </w:drawing>
      </w:r>
    </w:p>
    <w:p>
      <w:pPr>
        <w:spacing w:after="160"/>
        <w:jc w:val="center"/>
      </w:pPr>
      <w:r>
        <w:rPr>
          <w:i/>
          <w:iCs/>
          <w:sz w:val="20"/>
          <w:szCs w:val="20"/>
        </w:rPr>
        <w:t xml:space="preserve">Figure 7. Communication Diagram – Select Language</w:t>
      </w:r>
    </w:p>
    <w:p>
      <w:pPr>
        <w:pStyle w:val="Heading1"/>
        <w:spacing w:after="120" w:before="240"/>
      </w:pPr>
      <w:r>
        <w:rPr>
          <w:b w:val="false"/>
          <w:bCs w:val="false"/>
          <w:i w:val="false"/>
          <w:iCs w:val="false"/>
        </w:rPr>
        <w:t xml:space="preserve">V. Finite State Machine</w:t>
      </w:r>
    </w:p>
    <w:p>
      <w:pPr>
        <w:pStyle w:val="Heading2"/>
        <w:spacing w:after="100" w:before="200"/>
      </w:pPr>
      <w:r>
        <w:rPr>
          <w:b w:val="false"/>
          <w:bCs w:val="false"/>
          <w:i w:val="false"/>
          <w:iCs w:val="false"/>
        </w:rPr>
        <w:t xml:space="preserve">1. Login Session</w:t>
      </w:r>
    </w:p>
    <w:p>
      <w:pPr>
        <w:spacing w:after="120"/>
      </w:pPr>
      <w:r>
        <w:rPr>
          <w:b w:val="false"/>
          <w:bCs w:val="false"/>
          <w:i w:val="false"/>
          <w:iCs w:val="false"/>
        </w:rPr>
        <w:t xml:space="preserve">A login session progresses through entering the account number, entering the password, verifying the captcha and authenticating, and ends in either LoggedIn or Failed. Invalid format keeps the session in the same input state (the user is re-prompted).</w:t>
      </w:r>
    </w:p>
    <w:p>
      <w:pPr>
        <w:spacing w:after="40" w:before="80"/>
        <w:jc w:val="center"/>
      </w:pPr>
      <w:r>
        <w:drawing>
          <wp:inline distT="0" distB="0" distL="0" distR="0">
            <wp:extent cx="3971925" cy="7429500"/>
            <wp:effectExtent t="0" r="0" b="0" l="0"/>
            <wp:docPr id="1" name="09_statemachine_login.png" descr="09_statemachine_login.png" title="09_statemachine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1925" cy="7429500"/>
                    </a:xfrm>
                    <a:prstGeom prst="rect">
                      <a:avLst/>
                    </a:prstGeom>
                  </pic:spPr>
                </pic:pic>
              </a:graphicData>
            </a:graphic>
          </wp:inline>
        </w:drawing>
      </w:r>
    </w:p>
    <w:p>
      <w:pPr>
        <w:spacing w:after="160"/>
        <w:jc w:val="center"/>
      </w:pPr>
      <w:r>
        <w:rPr>
          <w:i/>
          <w:iCs/>
          <w:sz w:val="20"/>
          <w:szCs w:val="20"/>
        </w:rPr>
        <w:t xml:space="preserve">Figure 8. State Machine – Login Session</w:t>
      </w:r>
    </w:p>
    <w:p>
      <w:pPr>
        <w:pStyle w:val="Heading2"/>
        <w:spacing w:after="100" w:before="200"/>
      </w:pPr>
      <w:r>
        <w:rPr>
          <w:b w:val="false"/>
          <w:bCs w:val="false"/>
          <w:i w:val="false"/>
          <w:iCs w:val="false"/>
        </w:rPr>
        <w:t xml:space="preserve">2. Account Status</w:t>
      </w:r>
    </w:p>
    <w:p>
      <w:pPr>
        <w:spacing w:after="120"/>
      </w:pPr>
      <w:r>
        <w:rPr>
          <w:b w:val="false"/>
          <w:bCs w:val="false"/>
          <w:i w:val="false"/>
          <w:iCs w:val="false"/>
        </w:rPr>
        <w:t xml:space="preserve">Each account is in one of two states. Only an ACTIVE account can be authenticated; a LOCKED account is rejected even when the credentials are correct.</w:t>
      </w:r>
    </w:p>
    <w:p>
      <w:pPr>
        <w:spacing w:after="40" w:before="80"/>
        <w:jc w:val="center"/>
      </w:pPr>
      <w:r>
        <w:drawing>
          <wp:inline distT="0" distB="0" distL="0" distR="0">
            <wp:extent cx="4276725" cy="3743325"/>
            <wp:effectExtent t="0" r="0" b="0" l="0"/>
            <wp:docPr id="1" name="16_statemachine_account.png" descr="16_statemachine_account.png" title="16_statemachine_acc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76725" cy="3743325"/>
                    </a:xfrm>
                    <a:prstGeom prst="rect">
                      <a:avLst/>
                    </a:prstGeom>
                  </pic:spPr>
                </pic:pic>
              </a:graphicData>
            </a:graphic>
          </wp:inline>
        </w:drawing>
      </w:r>
    </w:p>
    <w:p>
      <w:pPr>
        <w:spacing w:after="160"/>
        <w:jc w:val="center"/>
      </w:pPr>
      <w:r>
        <w:rPr>
          <w:i/>
          <w:iCs/>
          <w:sz w:val="20"/>
          <w:szCs w:val="20"/>
        </w:rPr>
        <w:t xml:space="preserve">Figure 9. State Machine – Account Status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2"/>
      </w:pBdr>
      <w:jc w:val="right"/>
    </w:pPr>
    <w:r>
      <w:rPr>
        <w:b w:val="false"/>
        <w:bCs w:val="false"/>
        <w:i w:val="false"/>
        <w:iCs w:val="false"/>
        <w:color w:val="888888"/>
        <w:sz w:val="16"/>
        <w:szCs w:val="16"/>
      </w:rPr>
      <w:t xml:space="preserve">Assignment 02 – Ebank Login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E4D8E"/>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2E4D8E"/>
      <w:sz w:val="26"/>
      <w:szCs w:val="26"/>
    </w:rPr>
  </w:style>
  <w:style w:type="paragraph" w:styleId="Heading4">
    <w:name w:val="Heading 4"/>
    <w:basedOn w:val="Normal"/>
    <w:next w:val="Normal"/>
    <w:qFormat/>
    <w:pPr>
      <w:spacing w:after="80" w:before="140"/>
      <w:outlineLvl w:val="3"/>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4c86c8c6a343ce1d95cca2064ab127a5932f4c.png"/><Relationship Id="rId10" Type="http://schemas.openxmlformats.org/officeDocument/2006/relationships/image" Target="media/ff616fba82bb365d21c46a59cf3ce39b14ef0395.png"/><Relationship Id="rId11" Type="http://schemas.openxmlformats.org/officeDocument/2006/relationships/image" Target="media/304c879bd4c9410e403a89467da32942ebe8afd4.png"/><Relationship Id="rId12" Type="http://schemas.openxmlformats.org/officeDocument/2006/relationships/image" Target="media/fded7183d6ce84acd3c2a20db695db47f44a67e6.png"/><Relationship Id="rId13" Type="http://schemas.openxmlformats.org/officeDocument/2006/relationships/image" Target="media/ad0f27642fdc8fac9dcc1e90f793078aa7fe7d74.png"/><Relationship Id="rId14" Type="http://schemas.openxmlformats.org/officeDocument/2006/relationships/image" Target="media/106007f9b39f55d41c8776e550f44fdbdd02efe5.png"/><Relationship Id="rId15" Type="http://schemas.openxmlformats.org/officeDocument/2006/relationships/image" Target="media/173cdd5d7c45f55f2b52fca3129e046847046d7c.png"/><Relationship Id="rId16" Type="http://schemas.openxmlformats.org/officeDocument/2006/relationships/image" Target="media/8b0cbf213166f6e101e9a56322397b35be7f7734.png"/><Relationship Id="rId17" Type="http://schemas.openxmlformats.org/officeDocument/2006/relationships/image" Target="media/8bee060112e531e5421f5bf7761c35b383e14d7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 – Ebank Login System</dc:title>
  <dc:creator>SWD392 Student</dc:creator>
  <cp:lastModifiedBy>Un-named</cp:lastModifiedBy>
  <cp:revision>1</cp:revision>
  <dcterms:created xsi:type="dcterms:W3CDTF">2026-06-21T12:15:29.521Z</dcterms:created>
  <dcterms:modified xsi:type="dcterms:W3CDTF">2026-06-21T12:15:29.525Z</dcterms:modified>
</cp:coreProperties>
</file>

<file path=docProps/custom.xml><?xml version="1.0" encoding="utf-8"?>
<Properties xmlns="http://schemas.openxmlformats.org/officeDocument/2006/custom-properties" xmlns:vt="http://schemas.openxmlformats.org/officeDocument/2006/docPropsVTypes"/>
</file>