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F59" w:rsidRPr="00F16F0B" w:rsidRDefault="005E6F59"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E6F59" w:rsidRPr="0064297E" w:rsidRDefault="005E6F59" w:rsidP="007D06E1">
                            <w:pPr>
                              <w:rPr>
                                <w:rFonts w:ascii="Trebuchet MS" w:hAnsi="Trebuchet MS"/>
                                <w:b/>
                                <w:color w:val="FFFFFF"/>
                                <w:sz w:val="20"/>
                                <w:szCs w:val="20"/>
                              </w:rPr>
                            </w:pPr>
                          </w:p>
                          <w:p w:rsidR="005E6F59" w:rsidRPr="001B0904" w:rsidRDefault="005E6F59"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E6F59" w:rsidRDefault="005E6F59" w:rsidP="007D06E1">
                            <w:pPr>
                              <w:rPr>
                                <w:rFonts w:ascii="Trebuchet MS" w:hAnsi="Trebuchet MS"/>
                                <w:b/>
                                <w:color w:val="FFFFFF"/>
                                <w:sz w:val="20"/>
                                <w:szCs w:val="28"/>
                              </w:rPr>
                            </w:pPr>
                          </w:p>
                          <w:p w:rsidR="005E6F59" w:rsidRPr="00C824D2" w:rsidRDefault="005E6F59" w:rsidP="007D06E1">
                            <w:pPr>
                              <w:rPr>
                                <w:rFonts w:ascii="Trebuchet MS" w:hAnsi="Trebuchet MS"/>
                                <w:b/>
                                <w:color w:val="FFFFFF"/>
                                <w:sz w:val="20"/>
                                <w:szCs w:val="28"/>
                              </w:rPr>
                            </w:pP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TITIES NOVANINDA OVARI</w:t>
                            </w: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NRP 5113100083</w:t>
                            </w: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E6F59" w:rsidRPr="00A27A5C" w:rsidRDefault="005E6F59"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E6F59" w:rsidRPr="004433AA" w:rsidRDefault="005E6F59" w:rsidP="007D06E1">
                            <w:pPr>
                              <w:pStyle w:val="NoSpacing"/>
                              <w:rPr>
                                <w:rFonts w:ascii="Trebuchet MS" w:hAnsi="Trebuchet MS"/>
                                <w:color w:val="FFFFFF"/>
                                <w:sz w:val="20"/>
                                <w:szCs w:val="20"/>
                                <w:lang w:val="id-ID"/>
                              </w:rPr>
                            </w:pP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E6F59" w:rsidRPr="004433AA" w:rsidRDefault="005E6F59" w:rsidP="007D06E1">
                            <w:pPr>
                              <w:rPr>
                                <w:rFonts w:ascii="Trebuchet MS" w:hAnsi="Trebuchet MS"/>
                                <w:color w:val="FFFFFF"/>
                                <w:sz w:val="20"/>
                                <w:szCs w:val="20"/>
                              </w:rPr>
                            </w:pP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D51B43" w:rsidRDefault="005E6F59"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Surabaya 2017</w:t>
                            </w:r>
                          </w:p>
                          <w:p w:rsidR="005E6F59" w:rsidRPr="00C824D2" w:rsidRDefault="005E6F59"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5E6F59" w:rsidRPr="00F16F0B" w:rsidRDefault="005E6F59"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E6F59" w:rsidRPr="0064297E" w:rsidRDefault="005E6F59" w:rsidP="007D06E1">
                      <w:pPr>
                        <w:rPr>
                          <w:rFonts w:ascii="Trebuchet MS" w:hAnsi="Trebuchet MS"/>
                          <w:b/>
                          <w:color w:val="FFFFFF"/>
                          <w:sz w:val="20"/>
                          <w:szCs w:val="20"/>
                        </w:rPr>
                      </w:pPr>
                    </w:p>
                    <w:p w:rsidR="005E6F59" w:rsidRPr="001B0904" w:rsidRDefault="005E6F59"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E6F59" w:rsidRDefault="005E6F59" w:rsidP="007D06E1">
                      <w:pPr>
                        <w:rPr>
                          <w:rFonts w:ascii="Trebuchet MS" w:hAnsi="Trebuchet MS"/>
                          <w:b/>
                          <w:color w:val="FFFFFF"/>
                          <w:sz w:val="20"/>
                          <w:szCs w:val="28"/>
                        </w:rPr>
                      </w:pPr>
                    </w:p>
                    <w:p w:rsidR="005E6F59" w:rsidRPr="00C824D2" w:rsidRDefault="005E6F59" w:rsidP="007D06E1">
                      <w:pPr>
                        <w:rPr>
                          <w:rFonts w:ascii="Trebuchet MS" w:hAnsi="Trebuchet MS"/>
                          <w:b/>
                          <w:color w:val="FFFFFF"/>
                          <w:sz w:val="20"/>
                          <w:szCs w:val="28"/>
                        </w:rPr>
                      </w:pP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TITIES NOVANINDA OVARI</w:t>
                      </w: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NRP 5113100083</w:t>
                      </w: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E6F59" w:rsidRPr="00A27A5C" w:rsidRDefault="005E6F59"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E6F59" w:rsidRPr="004433AA" w:rsidRDefault="005E6F59" w:rsidP="007D06E1">
                      <w:pPr>
                        <w:pStyle w:val="NoSpacing"/>
                        <w:rPr>
                          <w:rFonts w:ascii="Trebuchet MS" w:hAnsi="Trebuchet MS"/>
                          <w:color w:val="FFFFFF"/>
                          <w:sz w:val="20"/>
                          <w:szCs w:val="20"/>
                          <w:lang w:val="id-ID"/>
                        </w:rPr>
                      </w:pP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E6F59" w:rsidRPr="004433AA" w:rsidRDefault="005E6F59" w:rsidP="007D06E1">
                      <w:pPr>
                        <w:rPr>
                          <w:rFonts w:ascii="Trebuchet MS" w:hAnsi="Trebuchet MS"/>
                          <w:color w:val="FFFFFF"/>
                          <w:sz w:val="20"/>
                          <w:szCs w:val="20"/>
                        </w:rPr>
                      </w:pP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D51B43" w:rsidRDefault="005E6F59"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Surabaya 2017</w:t>
                      </w:r>
                    </w:p>
                    <w:p w:rsidR="005E6F59" w:rsidRPr="00C824D2" w:rsidRDefault="005E6F59"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F59" w:rsidRPr="004433AA" w:rsidRDefault="005E6F59"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E6F59" w:rsidRPr="00D51B43" w:rsidRDefault="005E6F59" w:rsidP="007D06E1">
                            <w:pPr>
                              <w:jc w:val="both"/>
                              <w:rPr>
                                <w:rFonts w:ascii="Trebuchet MS" w:hAnsi="Trebuchet MS"/>
                                <w:b/>
                                <w:sz w:val="20"/>
                                <w:szCs w:val="20"/>
                              </w:rPr>
                            </w:pPr>
                          </w:p>
                          <w:p w:rsidR="005E6F59" w:rsidRPr="00452335" w:rsidRDefault="005E6F59"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E6F59" w:rsidRPr="00D51B43" w:rsidRDefault="005E6F59" w:rsidP="007D06E1">
                            <w:pPr>
                              <w:spacing w:line="276" w:lineRule="auto"/>
                              <w:rPr>
                                <w:rFonts w:ascii="Trebuchet MS" w:hAnsi="Trebuchet MS"/>
                                <w:b/>
                                <w:color w:val="000000" w:themeColor="text1"/>
                                <w:sz w:val="20"/>
                                <w:szCs w:val="28"/>
                              </w:rPr>
                            </w:pPr>
                          </w:p>
                          <w:p w:rsidR="005E6F59" w:rsidRPr="00C824D2" w:rsidRDefault="005E6F59" w:rsidP="007D06E1">
                            <w:pPr>
                              <w:spacing w:line="276" w:lineRule="auto"/>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4433AA" w:rsidRDefault="005E6F59"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E6F59"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E6F59" w:rsidRPr="004433AA"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E6F59" w:rsidRPr="0064297E" w:rsidRDefault="005E6F59" w:rsidP="007D06E1">
                            <w:pPr>
                              <w:rPr>
                                <w:rFonts w:ascii="Trebuchet MS" w:hAnsi="Trebuchet MS"/>
                                <w:color w:val="000000" w:themeColor="text1"/>
                              </w:rPr>
                            </w:pPr>
                          </w:p>
                          <w:p w:rsidR="005E6F59" w:rsidRPr="0064297E" w:rsidRDefault="005E6F59"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5E6F59" w:rsidRPr="004433AA" w:rsidRDefault="005E6F59"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E6F59" w:rsidRPr="00D51B43" w:rsidRDefault="005E6F59" w:rsidP="007D06E1">
                      <w:pPr>
                        <w:jc w:val="both"/>
                        <w:rPr>
                          <w:rFonts w:ascii="Trebuchet MS" w:hAnsi="Trebuchet MS"/>
                          <w:b/>
                          <w:sz w:val="20"/>
                          <w:szCs w:val="20"/>
                        </w:rPr>
                      </w:pPr>
                    </w:p>
                    <w:p w:rsidR="005E6F59" w:rsidRPr="00452335" w:rsidRDefault="005E6F59"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E6F59" w:rsidRPr="00D51B43" w:rsidRDefault="005E6F59" w:rsidP="007D06E1">
                      <w:pPr>
                        <w:spacing w:line="276" w:lineRule="auto"/>
                        <w:rPr>
                          <w:rFonts w:ascii="Trebuchet MS" w:hAnsi="Trebuchet MS"/>
                          <w:b/>
                          <w:color w:val="000000" w:themeColor="text1"/>
                          <w:sz w:val="20"/>
                          <w:szCs w:val="28"/>
                        </w:rPr>
                      </w:pPr>
                    </w:p>
                    <w:p w:rsidR="005E6F59" w:rsidRPr="00C824D2" w:rsidRDefault="005E6F59" w:rsidP="007D06E1">
                      <w:pPr>
                        <w:spacing w:line="276" w:lineRule="auto"/>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4433AA" w:rsidRDefault="005E6F59"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E6F59"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E6F59" w:rsidRPr="004433AA"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E6F59" w:rsidRPr="0064297E" w:rsidRDefault="005E6F59" w:rsidP="007D06E1">
                      <w:pPr>
                        <w:rPr>
                          <w:rFonts w:ascii="Trebuchet MS" w:hAnsi="Trebuchet MS"/>
                          <w:color w:val="000000" w:themeColor="text1"/>
                        </w:rPr>
                      </w:pPr>
                    </w:p>
                    <w:p w:rsidR="005E6F59" w:rsidRPr="0064297E" w:rsidRDefault="005E6F59"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F59" w:rsidRPr="0064297E" w:rsidRDefault="005E6F59"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E6F59" w:rsidRPr="0064297E" w:rsidRDefault="005E6F59" w:rsidP="007D06E1">
                            <w:pPr>
                              <w:jc w:val="both"/>
                              <w:rPr>
                                <w:rFonts w:ascii="Trebuchet MS" w:hAnsi="Trebuchet MS"/>
                                <w:b/>
                                <w:color w:val="000000" w:themeColor="text1"/>
                                <w:sz w:val="20"/>
                                <w:szCs w:val="20"/>
                              </w:rPr>
                            </w:pPr>
                          </w:p>
                          <w:p w:rsidR="005E6F59" w:rsidRPr="003158A7" w:rsidRDefault="005E6F59"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E6F59" w:rsidRPr="003159C8" w:rsidRDefault="005E6F59" w:rsidP="007D06E1">
                            <w:pPr>
                              <w:rPr>
                                <w:rFonts w:ascii="Trebuchet MS" w:hAnsi="Trebuchet MS"/>
                                <w:b/>
                                <w:sz w:val="20"/>
                                <w:szCs w:val="20"/>
                              </w:rPr>
                            </w:pPr>
                          </w:p>
                          <w:p w:rsidR="005E6F59" w:rsidRPr="00E10B39" w:rsidRDefault="005E6F59" w:rsidP="007D06E1">
                            <w:pPr>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BF6A98" w:rsidRDefault="005E6F59" w:rsidP="007D06E1">
                            <w:pPr>
                              <w:rPr>
                                <w:rFonts w:ascii="Trebuchet MS" w:hAnsi="Trebuchet MS"/>
                                <w:b/>
                                <w:sz w:val="20"/>
                                <w:szCs w:val="20"/>
                              </w:rPr>
                            </w:pPr>
                            <w:r>
                              <w:rPr>
                                <w:rFonts w:ascii="Trebuchet MS" w:hAnsi="Trebuchet MS"/>
                                <w:b/>
                                <w:sz w:val="20"/>
                                <w:szCs w:val="20"/>
                              </w:rPr>
                              <w:t>NRP 5113100083</w:t>
                            </w:r>
                          </w:p>
                          <w:p w:rsidR="005E6F59" w:rsidRPr="0064297E" w:rsidRDefault="005E6F59" w:rsidP="007D06E1">
                            <w:pPr>
                              <w:spacing w:line="276" w:lineRule="auto"/>
                              <w:rPr>
                                <w:rFonts w:ascii="Trebuchet MS" w:hAnsi="Trebuchet MS"/>
                                <w:b/>
                                <w:color w:val="000000" w:themeColor="text1"/>
                                <w:sz w:val="20"/>
                                <w:szCs w:val="20"/>
                              </w:rPr>
                            </w:pPr>
                          </w:p>
                          <w:p w:rsidR="005E6F59" w:rsidRPr="0064297E" w:rsidRDefault="005E6F59"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E6F59" w:rsidRPr="00A27A5C"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E6F59" w:rsidRPr="0064297E" w:rsidRDefault="005E6F59" w:rsidP="007D06E1">
                            <w:pPr>
                              <w:pStyle w:val="NoSpacing"/>
                              <w:spacing w:line="276" w:lineRule="auto"/>
                              <w:rPr>
                                <w:rFonts w:ascii="Trebuchet MS" w:hAnsi="Trebuchet MS"/>
                                <w:b/>
                                <w:color w:val="000000" w:themeColor="text1"/>
                                <w:sz w:val="20"/>
                                <w:szCs w:val="20"/>
                                <w:lang w:val="id-ID"/>
                              </w:rPr>
                            </w:pPr>
                          </w:p>
                          <w:p w:rsidR="005E6F59" w:rsidRPr="0064297E" w:rsidRDefault="005E6F59"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E6F59" w:rsidRPr="00BF6A98"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E6F59" w:rsidRPr="0064297E" w:rsidRDefault="005E6F59" w:rsidP="007D06E1">
                            <w:pPr>
                              <w:pStyle w:val="Title"/>
                              <w:spacing w:line="276" w:lineRule="auto"/>
                              <w:ind w:left="12" w:right="12"/>
                              <w:jc w:val="both"/>
                              <w:rPr>
                                <w:rFonts w:ascii="Trebuchet MS" w:eastAsia="Calibri" w:hAnsi="Trebuchet MS"/>
                                <w:color w:val="000000" w:themeColor="text1"/>
                                <w:sz w:val="20"/>
                              </w:rPr>
                            </w:pPr>
                          </w:p>
                          <w:p w:rsidR="005E6F59" w:rsidRDefault="005E6F59" w:rsidP="007D06E1">
                            <w:pPr>
                              <w:spacing w:line="276" w:lineRule="auto"/>
                              <w:rPr>
                                <w:rFonts w:ascii="Trebuchet MS" w:hAnsi="Trebuchet MS"/>
                                <w:b/>
                                <w:color w:val="000000" w:themeColor="text1"/>
                                <w:sz w:val="20"/>
                                <w:szCs w:val="20"/>
                              </w:rPr>
                            </w:pPr>
                          </w:p>
                          <w:p w:rsidR="005E6F59" w:rsidRDefault="005E6F59" w:rsidP="007D06E1">
                            <w:pPr>
                              <w:spacing w:line="276" w:lineRule="auto"/>
                              <w:rPr>
                                <w:rFonts w:ascii="Trebuchet MS" w:hAnsi="Trebuchet MS"/>
                                <w:b/>
                                <w:color w:val="000000" w:themeColor="text1"/>
                                <w:sz w:val="20"/>
                                <w:szCs w:val="20"/>
                              </w:rPr>
                            </w:pPr>
                          </w:p>
                          <w:p w:rsidR="005E6F59" w:rsidRPr="0064297E"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E6F59" w:rsidRPr="007D06E1"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E6F59" w:rsidRPr="00E10B39" w:rsidRDefault="005E6F59"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5E6F59" w:rsidRPr="0064297E" w:rsidRDefault="005E6F59"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E6F59" w:rsidRPr="0064297E" w:rsidRDefault="005E6F59" w:rsidP="007D06E1">
                      <w:pPr>
                        <w:jc w:val="both"/>
                        <w:rPr>
                          <w:rFonts w:ascii="Trebuchet MS" w:hAnsi="Trebuchet MS"/>
                          <w:b/>
                          <w:color w:val="000000" w:themeColor="text1"/>
                          <w:sz w:val="20"/>
                          <w:szCs w:val="20"/>
                        </w:rPr>
                      </w:pPr>
                    </w:p>
                    <w:p w:rsidR="005E6F59" w:rsidRPr="003158A7" w:rsidRDefault="005E6F59"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E6F59" w:rsidRPr="003159C8" w:rsidRDefault="005E6F59" w:rsidP="007D06E1">
                      <w:pPr>
                        <w:rPr>
                          <w:rFonts w:ascii="Trebuchet MS" w:hAnsi="Trebuchet MS"/>
                          <w:b/>
                          <w:sz w:val="20"/>
                          <w:szCs w:val="20"/>
                        </w:rPr>
                      </w:pPr>
                    </w:p>
                    <w:p w:rsidR="005E6F59" w:rsidRPr="00E10B39" w:rsidRDefault="005E6F59" w:rsidP="007D06E1">
                      <w:pPr>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BF6A98" w:rsidRDefault="005E6F59" w:rsidP="007D06E1">
                      <w:pPr>
                        <w:rPr>
                          <w:rFonts w:ascii="Trebuchet MS" w:hAnsi="Trebuchet MS"/>
                          <w:b/>
                          <w:sz w:val="20"/>
                          <w:szCs w:val="20"/>
                        </w:rPr>
                      </w:pPr>
                      <w:r>
                        <w:rPr>
                          <w:rFonts w:ascii="Trebuchet MS" w:hAnsi="Trebuchet MS"/>
                          <w:b/>
                          <w:sz w:val="20"/>
                          <w:szCs w:val="20"/>
                        </w:rPr>
                        <w:t>NRP 5113100083</w:t>
                      </w:r>
                    </w:p>
                    <w:p w:rsidR="005E6F59" w:rsidRPr="0064297E" w:rsidRDefault="005E6F59" w:rsidP="007D06E1">
                      <w:pPr>
                        <w:spacing w:line="276" w:lineRule="auto"/>
                        <w:rPr>
                          <w:rFonts w:ascii="Trebuchet MS" w:hAnsi="Trebuchet MS"/>
                          <w:b/>
                          <w:color w:val="000000" w:themeColor="text1"/>
                          <w:sz w:val="20"/>
                          <w:szCs w:val="20"/>
                        </w:rPr>
                      </w:pPr>
                    </w:p>
                    <w:p w:rsidR="005E6F59" w:rsidRPr="0064297E" w:rsidRDefault="005E6F59"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E6F59" w:rsidRPr="00A27A5C"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E6F59" w:rsidRPr="0064297E" w:rsidRDefault="005E6F59" w:rsidP="007D06E1">
                      <w:pPr>
                        <w:pStyle w:val="NoSpacing"/>
                        <w:spacing w:line="276" w:lineRule="auto"/>
                        <w:rPr>
                          <w:rFonts w:ascii="Trebuchet MS" w:hAnsi="Trebuchet MS"/>
                          <w:b/>
                          <w:color w:val="000000" w:themeColor="text1"/>
                          <w:sz w:val="20"/>
                          <w:szCs w:val="20"/>
                          <w:lang w:val="id-ID"/>
                        </w:rPr>
                      </w:pPr>
                    </w:p>
                    <w:p w:rsidR="005E6F59" w:rsidRPr="0064297E" w:rsidRDefault="005E6F59"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E6F59" w:rsidRPr="00BF6A98"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E6F59" w:rsidRPr="0064297E" w:rsidRDefault="005E6F59" w:rsidP="007D06E1">
                      <w:pPr>
                        <w:pStyle w:val="Title"/>
                        <w:spacing w:line="276" w:lineRule="auto"/>
                        <w:ind w:left="12" w:right="12"/>
                        <w:jc w:val="both"/>
                        <w:rPr>
                          <w:rFonts w:ascii="Trebuchet MS" w:eastAsia="Calibri" w:hAnsi="Trebuchet MS"/>
                          <w:color w:val="000000" w:themeColor="text1"/>
                          <w:sz w:val="20"/>
                        </w:rPr>
                      </w:pPr>
                    </w:p>
                    <w:p w:rsidR="005E6F59" w:rsidRDefault="005E6F59" w:rsidP="007D06E1">
                      <w:pPr>
                        <w:spacing w:line="276" w:lineRule="auto"/>
                        <w:rPr>
                          <w:rFonts w:ascii="Trebuchet MS" w:hAnsi="Trebuchet MS"/>
                          <w:b/>
                          <w:color w:val="000000" w:themeColor="text1"/>
                          <w:sz w:val="20"/>
                          <w:szCs w:val="20"/>
                        </w:rPr>
                      </w:pPr>
                    </w:p>
                    <w:p w:rsidR="005E6F59" w:rsidRDefault="005E6F59" w:rsidP="007D06E1">
                      <w:pPr>
                        <w:spacing w:line="276" w:lineRule="auto"/>
                        <w:rPr>
                          <w:rFonts w:ascii="Trebuchet MS" w:hAnsi="Trebuchet MS"/>
                          <w:b/>
                          <w:color w:val="000000" w:themeColor="text1"/>
                          <w:sz w:val="20"/>
                          <w:szCs w:val="20"/>
                        </w:rPr>
                      </w:pPr>
                    </w:p>
                    <w:p w:rsidR="005E6F59" w:rsidRPr="0064297E"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E6F59" w:rsidRPr="007D06E1"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E6F59" w:rsidRPr="00E10B39" w:rsidRDefault="005E6F59"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2009D">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6F59" w:rsidRDefault="005E6F59"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5E6F59" w:rsidRDefault="005E6F59"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r w:rsidR="00A2009D">
        <w:fldChar w:fldCharType="begin"/>
      </w:r>
      <w:r w:rsidR="00A2009D">
        <w:instrText xml:space="preserve"> STYLEREF 1 \s </w:instrText>
      </w:r>
      <w:r w:rsidR="00A2009D">
        <w:fldChar w:fldCharType="separate"/>
      </w:r>
      <w:r w:rsidR="009279CB">
        <w:rPr>
          <w:noProof/>
        </w:rPr>
        <w:t>2</w:t>
      </w:r>
      <w:r w:rsidR="00A2009D">
        <w:rPr>
          <w:noProof/>
        </w:rPr>
        <w:fldChar w:fldCharType="end"/>
      </w:r>
      <w:r w:rsidR="009279CB">
        <w:t>.</w:t>
      </w:r>
      <w:r w:rsidR="00A2009D">
        <w:fldChar w:fldCharType="begin"/>
      </w:r>
      <w:r w:rsidR="00A2009D">
        <w:instrText xml:space="preserve"> SEQ Gambar \* ARABIC \s 1 </w:instrText>
      </w:r>
      <w:r w:rsidR="00A2009D">
        <w:fldChar w:fldCharType="separate"/>
      </w:r>
      <w:r w:rsidR="009279CB">
        <w:rPr>
          <w:noProof/>
        </w:rPr>
        <w:t>1</w:t>
      </w:r>
      <w:r w:rsidR="00A2009D">
        <w:rPr>
          <w:noProof/>
        </w:rPr>
        <w:fldChar w:fldCharType="end"/>
      </w:r>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6F59" w:rsidRDefault="005E6F59">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5E6F59" w:rsidRDefault="005E6F59">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r w:rsidR="00A2009D">
        <w:fldChar w:fldCharType="begin"/>
      </w:r>
      <w:r w:rsidR="00A2009D">
        <w:instrText xml:space="preserve"> STYLEREF 1 \s </w:instrText>
      </w:r>
      <w:r w:rsidR="00A2009D">
        <w:fldChar w:fldCharType="separate"/>
      </w:r>
      <w:r>
        <w:rPr>
          <w:noProof/>
        </w:rPr>
        <w:t>2</w:t>
      </w:r>
      <w:r w:rsidR="00A2009D">
        <w:rPr>
          <w:noProof/>
        </w:rPr>
        <w:fldChar w:fldCharType="end"/>
      </w:r>
      <w:r>
        <w:t>.</w:t>
      </w:r>
      <w:r w:rsidR="00A2009D">
        <w:fldChar w:fldCharType="begin"/>
      </w:r>
      <w:r w:rsidR="00A2009D">
        <w:instrText xml:space="preserve"> SEQ Gambar \* ARABIC \s 1 </w:instrText>
      </w:r>
      <w:r w:rsidR="00A2009D">
        <w:fldChar w:fldCharType="separate"/>
      </w:r>
      <w:r>
        <w:rPr>
          <w:noProof/>
        </w:rPr>
        <w:t>2</w:t>
      </w:r>
      <w:r w:rsidR="00A2009D">
        <w:rPr>
          <w:noProof/>
        </w:rPr>
        <w:fldChar w:fldCharType="end"/>
      </w:r>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r w:rsidR="00A2009D">
        <w:fldChar w:fldCharType="begin"/>
      </w:r>
      <w:r w:rsidR="00A2009D">
        <w:instrText xml:space="preserve"> STYLEREF 1 \s </w:instrText>
      </w:r>
      <w:r w:rsidR="00A2009D">
        <w:fldChar w:fldCharType="separate"/>
      </w:r>
      <w:r>
        <w:rPr>
          <w:noProof/>
        </w:rPr>
        <w:t>2</w:t>
      </w:r>
      <w:r w:rsidR="00A2009D">
        <w:rPr>
          <w:noProof/>
        </w:rPr>
        <w:fldChar w:fldCharType="end"/>
      </w:r>
      <w:r>
        <w:t>.</w:t>
      </w:r>
      <w:r w:rsidR="00A2009D">
        <w:fldChar w:fldCharType="begin"/>
      </w:r>
      <w:r w:rsidR="00A2009D">
        <w:instrText xml:space="preserve"> SEQ Tabel \* ARABIC \s 1 </w:instrText>
      </w:r>
      <w:r w:rsidR="00A2009D">
        <w:fldChar w:fldCharType="separate"/>
      </w:r>
      <w:r>
        <w:rPr>
          <w:noProof/>
        </w:rPr>
        <w:t>1</w:t>
      </w:r>
      <w:r w:rsidR="00A2009D">
        <w:rPr>
          <w:noProof/>
        </w:rPr>
        <w:fldChar w:fldCharType="end"/>
      </w:r>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r>
        <w:t>Implementasi</w:t>
      </w:r>
      <w:r w:rsidR="001324AC">
        <w:t xml:space="preserve"> ECDSA</w:t>
      </w:r>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rPr>
          <w:i/>
        </w:rPr>
      </w:pPr>
      <w:r>
        <w:t xml:space="preserve">Modifikasi Pemilihan </w:t>
      </w:r>
      <w:r w:rsidRPr="00365042">
        <w:rPr>
          <w:i/>
        </w:rPr>
        <w:t>Node</w:t>
      </w:r>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AA760D">
      <w:pPr>
        <w:pStyle w:val="Heading2"/>
      </w:pPr>
      <w:r>
        <w:t xml:space="preserve">Implementasi Simulasi </w:t>
      </w:r>
      <w:r w:rsidR="00365042">
        <w:t>pada NS-2</w:t>
      </w:r>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skenario yang tela</w:t>
      </w:r>
      <w:r w:rsidR="00D53EE5">
        <w:t>h</w:t>
      </w:r>
      <w:r>
        <w:t xml:space="preserve"> di</w:t>
      </w:r>
      <w:r w:rsidRPr="0030758E">
        <w:rPr>
          <w:i/>
        </w:rPr>
        <w:t>generate</w:t>
      </w:r>
      <w:r>
        <w:t xml:space="preserve"> oleh SUMO.</w:t>
      </w:r>
      <w:bookmarkStart w:id="101" w:name="_GoBack"/>
      <w:bookmarkEnd w:id="101"/>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lastRenderedPageBreak/>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lastRenderedPageBreak/>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r w:rsidR="00A2009D">
        <w:fldChar w:fldCharType="begin"/>
      </w:r>
      <w:r w:rsidR="00A2009D">
        <w:instrText xml:space="preserve"> STYLEREF 1 \s </w:instrText>
      </w:r>
      <w:r w:rsidR="00A2009D">
        <w:fldChar w:fldCharType="separate"/>
      </w:r>
      <w:r>
        <w:rPr>
          <w:noProof/>
        </w:rPr>
        <w:t>8</w:t>
      </w:r>
      <w:r w:rsidR="00A2009D">
        <w:rPr>
          <w:noProof/>
        </w:rPr>
        <w:fldChar w:fldCharType="end"/>
      </w:r>
      <w:r>
        <w:t>.</w:t>
      </w:r>
      <w:r w:rsidR="00A2009D">
        <w:fldChar w:fldCharType="begin"/>
      </w:r>
      <w:r w:rsidR="00A2009D">
        <w:instrText xml:space="preserve"> SEQ Kode_Sumber \* ARABIC \s 1 </w:instrText>
      </w:r>
      <w:r w:rsidR="00A2009D">
        <w:fldChar w:fldCharType="separate"/>
      </w:r>
      <w:r>
        <w:rPr>
          <w:noProof/>
        </w:rPr>
        <w:t>1</w:t>
      </w:r>
      <w:r w:rsidR="00A2009D">
        <w:rPr>
          <w:noProof/>
        </w:rPr>
        <w:fldChar w:fldCharType="end"/>
      </w:r>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09D" w:rsidRDefault="00A2009D">
      <w:r>
        <w:separator/>
      </w:r>
    </w:p>
  </w:endnote>
  <w:endnote w:type="continuationSeparator" w:id="0">
    <w:p w:rsidR="00A2009D" w:rsidRDefault="00A2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p>
  <w:p w:rsidR="005E6F59" w:rsidRPr="00852480" w:rsidRDefault="005E6F59"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6075FA" w:rsidRDefault="005E6F59">
    <w:pPr>
      <w:pStyle w:val="Footer"/>
      <w:jc w:val="center"/>
    </w:pPr>
  </w:p>
  <w:p w:rsidR="005E6F59" w:rsidRPr="006F5DA3" w:rsidRDefault="005E6F59"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5E6F59" w:rsidRPr="006075FA" w:rsidRDefault="005E6F59">
        <w:pPr>
          <w:pStyle w:val="Footer"/>
          <w:jc w:val="center"/>
        </w:pPr>
        <w:r w:rsidRPr="00713920">
          <w:fldChar w:fldCharType="begin"/>
        </w:r>
        <w:r w:rsidRPr="00713920">
          <w:instrText xml:space="preserve"> PAGE   \* MERGEFORMAT </w:instrText>
        </w:r>
        <w:r w:rsidRPr="00713920">
          <w:fldChar w:fldCharType="separate"/>
        </w:r>
        <w:r w:rsidR="0030758E">
          <w:rPr>
            <w:noProof/>
          </w:rPr>
          <w:t>34</w:t>
        </w:r>
        <w:r w:rsidRPr="00713920">
          <w:rPr>
            <w:noProof/>
          </w:rPr>
          <w:fldChar w:fldCharType="end"/>
        </w:r>
      </w:p>
    </w:sdtContent>
  </w:sdt>
  <w:p w:rsidR="005E6F59" w:rsidRPr="00852480" w:rsidRDefault="005E6F59"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p>
  <w:p w:rsidR="005E6F59" w:rsidRPr="00852480" w:rsidRDefault="005E6F59"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r w:rsidRPr="00852480">
      <w:fldChar w:fldCharType="begin"/>
    </w:r>
    <w:r w:rsidRPr="00852480">
      <w:instrText xml:space="preserve"> PAGE   \* MERGEFORMAT </w:instrText>
    </w:r>
    <w:r w:rsidRPr="00852480">
      <w:fldChar w:fldCharType="separate"/>
    </w:r>
    <w:r w:rsidR="00C469B7">
      <w:rPr>
        <w:noProof/>
      </w:rPr>
      <w:t>i</w:t>
    </w:r>
    <w:r w:rsidRPr="00852480">
      <w:rPr>
        <w:noProof/>
      </w:rPr>
      <w:fldChar w:fldCharType="end"/>
    </w:r>
  </w:p>
  <w:p w:rsidR="005E6F59" w:rsidRPr="00852480" w:rsidRDefault="005E6F59"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p>
  <w:p w:rsidR="005E6F59" w:rsidRPr="00852480" w:rsidRDefault="005E6F59"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5E6F59" w:rsidRPr="00640CDE" w:rsidRDefault="005E6F59">
        <w:pPr>
          <w:pStyle w:val="Footer"/>
          <w:jc w:val="center"/>
        </w:pPr>
        <w:r w:rsidRPr="00640CDE">
          <w:fldChar w:fldCharType="begin"/>
        </w:r>
        <w:r w:rsidRPr="00640CDE">
          <w:instrText xml:space="preserve"> PAGE   \* MERGEFORMAT </w:instrText>
        </w:r>
        <w:r w:rsidRPr="00640CDE">
          <w:fldChar w:fldCharType="separate"/>
        </w:r>
        <w:r w:rsidR="00C469B7">
          <w:rPr>
            <w:noProof/>
          </w:rPr>
          <w:t>i</w:t>
        </w:r>
        <w:r w:rsidRPr="00640CDE">
          <w:rPr>
            <w:noProof/>
          </w:rPr>
          <w:fldChar w:fldCharType="end"/>
        </w:r>
      </w:p>
    </w:sdtContent>
  </w:sdt>
  <w:p w:rsidR="005E6F59" w:rsidRPr="00852480" w:rsidRDefault="005E6F59"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5E6F59" w:rsidRPr="00852480" w:rsidRDefault="005E6F59">
        <w:pPr>
          <w:pStyle w:val="Footer"/>
          <w:jc w:val="center"/>
        </w:pPr>
        <w:r w:rsidRPr="00852480">
          <w:fldChar w:fldCharType="begin"/>
        </w:r>
        <w:r w:rsidRPr="00852480">
          <w:instrText xml:space="preserve"> PAGE   \* MERGEFORMAT </w:instrText>
        </w:r>
        <w:r w:rsidRPr="00852480">
          <w:fldChar w:fldCharType="separate"/>
        </w:r>
        <w:r w:rsidR="00C469B7">
          <w:rPr>
            <w:noProof/>
          </w:rPr>
          <w:t>xviii</w:t>
        </w:r>
        <w:r w:rsidRPr="00852480">
          <w:rPr>
            <w:noProof/>
          </w:rPr>
          <w:fldChar w:fldCharType="end"/>
        </w:r>
      </w:p>
    </w:sdtContent>
  </w:sdt>
  <w:p w:rsidR="005E6F59" w:rsidRPr="00852480" w:rsidRDefault="005E6F59"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Footer"/>
      <w:jc w:val="center"/>
    </w:pPr>
    <w:r w:rsidRPr="006A7C80">
      <w:fldChar w:fldCharType="begin"/>
    </w:r>
    <w:r w:rsidRPr="006A7C80">
      <w:instrText xml:space="preserve"> PAGE   \* MERGEFORMAT </w:instrText>
    </w:r>
    <w:r w:rsidRPr="006A7C80">
      <w:fldChar w:fldCharType="separate"/>
    </w:r>
    <w:r w:rsidR="00C469B7">
      <w:rPr>
        <w:noProof/>
      </w:rPr>
      <w:t>xix</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5E6F59" w:rsidRPr="00852480" w:rsidRDefault="005E6F59">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E6F59" w:rsidRPr="006F5DA3" w:rsidRDefault="005E6F59"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09D" w:rsidRDefault="00A2009D">
      <w:r>
        <w:separator/>
      </w:r>
    </w:p>
  </w:footnote>
  <w:footnote w:type="continuationSeparator" w:id="0">
    <w:p w:rsidR="00A2009D" w:rsidRDefault="00A20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rPr>
        <w:rFonts w:eastAsia="Times New Roman"/>
        <w:lang w:eastAsia="ja-JP"/>
      </w:rPr>
    </w:pPr>
  </w:p>
  <w:p w:rsidR="005E6F59" w:rsidRPr="00852480" w:rsidRDefault="005E6F5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5E6F59" w:rsidRPr="00852480" w:rsidRDefault="005E6F59">
        <w:pPr>
          <w:pStyle w:val="Header"/>
        </w:pPr>
        <w:r w:rsidRPr="00852480">
          <w:fldChar w:fldCharType="begin"/>
        </w:r>
        <w:r w:rsidRPr="00852480">
          <w:instrText xml:space="preserve"> PAGE   \* MERGEFORMAT </w:instrText>
        </w:r>
        <w:r w:rsidRPr="00852480">
          <w:fldChar w:fldCharType="separate"/>
        </w:r>
        <w:r w:rsidR="0030758E">
          <w:rPr>
            <w:noProof/>
          </w:rPr>
          <w:t>28</w:t>
        </w:r>
        <w:r w:rsidRPr="00852480">
          <w:rPr>
            <w:noProof/>
          </w:rPr>
          <w:fldChar w:fldCharType="end"/>
        </w:r>
      </w:p>
    </w:sdtContent>
  </w:sdt>
  <w:p w:rsidR="005E6F59" w:rsidRPr="00852480" w:rsidRDefault="005E6F59"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5E6F59" w:rsidRPr="006075FA" w:rsidRDefault="005E6F59">
        <w:pPr>
          <w:pStyle w:val="Header"/>
          <w:jc w:val="right"/>
        </w:pPr>
        <w:r w:rsidRPr="00EA1020">
          <w:fldChar w:fldCharType="begin"/>
        </w:r>
        <w:r w:rsidRPr="00EA1020">
          <w:instrText xml:space="preserve"> PAGE   \* MERGEFORMAT </w:instrText>
        </w:r>
        <w:r w:rsidRPr="00EA1020">
          <w:fldChar w:fldCharType="separate"/>
        </w:r>
        <w:r w:rsidR="0030758E">
          <w:rPr>
            <w:noProof/>
          </w:rPr>
          <w:t>27</w:t>
        </w:r>
        <w:r w:rsidRPr="00EA1020">
          <w:rPr>
            <w:noProof/>
          </w:rPr>
          <w:fldChar w:fldCharType="end"/>
        </w:r>
      </w:p>
    </w:sdtContent>
  </w:sdt>
  <w:p w:rsidR="005E6F59" w:rsidRPr="00852480" w:rsidRDefault="005E6F59"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B62FA5">
    <w:pPr>
      <w:pStyle w:val="Header"/>
      <w:jc w:val="center"/>
    </w:pPr>
  </w:p>
  <w:p w:rsidR="005E6F59" w:rsidRPr="00852480" w:rsidRDefault="005E6F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Header"/>
      <w:jc w:val="right"/>
    </w:pPr>
  </w:p>
  <w:p w:rsidR="005E6F59" w:rsidRPr="00852480" w:rsidRDefault="005E6F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jc w:val="center"/>
    </w:pPr>
  </w:p>
  <w:p w:rsidR="005E6F59" w:rsidRPr="00852480" w:rsidRDefault="005E6F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rPr>
        <w:rFonts w:eastAsia="Times New Roman"/>
        <w:lang w:eastAsia="ja-JP"/>
      </w:rPr>
    </w:pPr>
  </w:p>
  <w:p w:rsidR="005E6F59" w:rsidRPr="00852480" w:rsidRDefault="005E6F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Header"/>
      <w:jc w:val="right"/>
    </w:pPr>
  </w:p>
  <w:p w:rsidR="005E6F59" w:rsidRPr="00852480" w:rsidRDefault="005E6F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jc w:val="center"/>
    </w:pPr>
  </w:p>
  <w:p w:rsidR="005E6F59" w:rsidRPr="00852480" w:rsidRDefault="005E6F5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Header"/>
    </w:pPr>
  </w:p>
  <w:p w:rsidR="005E6F59" w:rsidRPr="00852480" w:rsidRDefault="005E6F59"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5E6F59" w:rsidRPr="00852480" w:rsidRDefault="005E6F59">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E6F59" w:rsidRPr="00852480" w:rsidRDefault="005E6F59"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4FAFPxTMQ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E1CE4"/>
    <w:rsid w:val="001E40B2"/>
    <w:rsid w:val="001E4F73"/>
    <w:rsid w:val="001E56BE"/>
    <w:rsid w:val="001E6942"/>
    <w:rsid w:val="001F75CE"/>
    <w:rsid w:val="002023EE"/>
    <w:rsid w:val="00205048"/>
    <w:rsid w:val="002057CB"/>
    <w:rsid w:val="00205EE3"/>
    <w:rsid w:val="00206BB8"/>
    <w:rsid w:val="00206F9C"/>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E6F59"/>
    <w:rsid w:val="005F14F0"/>
    <w:rsid w:val="005F1C29"/>
    <w:rsid w:val="005F2351"/>
    <w:rsid w:val="005F2F79"/>
    <w:rsid w:val="005F3DEF"/>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009D"/>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F72"/>
    <w:rsid w:val="00F84408"/>
    <w:rsid w:val="00F848B4"/>
    <w:rsid w:val="00F86EC1"/>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6F04D217-D26F-4C9A-9506-526CC8D0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6035</TotalTime>
  <Pages>69</Pages>
  <Words>10601</Words>
  <Characters>60432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303</cp:revision>
  <cp:lastPrinted>2016-06-19T16:33:00Z</cp:lastPrinted>
  <dcterms:created xsi:type="dcterms:W3CDTF">2017-03-06T04:37:00Z</dcterms:created>
  <dcterms:modified xsi:type="dcterms:W3CDTF">2017-05-18T04:10:00Z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