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40"/>
      </w:pPr>
      <w:r>
        <w:rPr>
          <w:b/>
          <w:bCs/>
          <w:color w:val="1F6FB2"/>
          <w:sz w:val="18"/>
          <w:szCs w:val="18"/>
        </w:rPr>
        <w:t xml:space="preserve">ADVENTURE WORKS  ·  TECHNICAL SUPPORT</w:t>
      </w:r>
    </w:p>
    <w:p>
      <w:pPr>
        <w:pStyle w:val="Heading1"/>
        <w:spacing w:after="60"/>
      </w:pPr>
      <w:r>
        <w:rPr>
          <w:b/>
          <w:bCs/>
          <w:color w:val="124069"/>
          <w:sz w:val="40"/>
          <w:szCs w:val="40"/>
        </w:rPr>
        <w:t xml:space="preserve">Bent Derailleur Hanger and Poor Shifting</w:t>
      </w:r>
    </w:p>
    <w:p>
      <w:pPr>
        <w:pBdr>
          <w:bottom w:val="single" w:color="1F6FB2" w:sz="12" w:space="2"/>
        </w:pBdr>
        <w:spacing w:after="60"/>
      </w:pPr>
      <w:r>
        <w:rPr>
          <w:b/>
          <w:bCs/>
          <w:color w:val="1F6FB2"/>
        </w:rPr>
        <w:t xml:space="preserve">Drivetrain</w:t>
      </w:r>
      <w:r>
        <w:rPr>
          <w:color w:val="5A5A5A"/>
        </w:rPr>
        <w:t xml:space="preserve">     Document TS-016     Rev. 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9D9E8" w:sz="4"/>
              <w:left w:val="single" w:color="C9D9E8" w:sz="4"/>
              <w:bottom w:val="single" w:color="C9D9E8" w:sz="4"/>
              <w:right w:val="single" w:color="C9D9E8" w:sz="4"/>
            </w:tcBorders>
            <w:shd w:fill="EAF1F8" w:val="clear"/>
            <w:tcMar>
              <w:top w:type="dxa" w:w="70"/>
              <w:left w:type="dxa" w:w="14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  <w:color w:val="124069"/>
              </w:rPr>
              <w:t xml:space="preserve">Applies to</w:t>
            </w:r>
          </w:p>
        </w:tc>
        <w:tc>
          <w:tcPr>
            <w:tcW w:type="dxa" w:w="7160"/>
            <w:tcBorders>
              <w:top w:val="single" w:color="C9D9E8" w:sz="4"/>
              <w:left w:val="single" w:color="C9D9E8" w:sz="4"/>
              <w:bottom w:val="single" w:color="C9D9E8" w:sz="4"/>
              <w:right w:val="single" w:color="C9D9E8" w:sz="4"/>
            </w:tcBorders>
            <w:tcMar>
              <w:top w:type="dxa" w:w="70"/>
              <w:left w:type="dxa" w:w="140"/>
              <w:bottom w:type="dxa" w:w="70"/>
              <w:right w:type="dxa" w:w="120"/>
            </w:tcMar>
            <w:vAlign w:val="center"/>
          </w:tcPr>
          <w:p>
            <w:r>
              <w:rPr>
                <w:color w:val="262626"/>
              </w:rPr>
              <w:t xml:space="preserve">All geared Adventure Works models</w:t>
            </w:r>
          </w:p>
        </w:tc>
      </w:tr>
      <w:tr>
        <w:tc>
          <w:tcPr>
            <w:tcW w:type="dxa" w:w="2200"/>
            <w:tcBorders>
              <w:top w:val="single" w:color="C9D9E8" w:sz="4"/>
              <w:left w:val="single" w:color="C9D9E8" w:sz="4"/>
              <w:bottom w:val="single" w:color="C9D9E8" w:sz="4"/>
              <w:right w:val="single" w:color="C9D9E8" w:sz="4"/>
            </w:tcBorders>
            <w:shd w:fill="EAF1F8" w:val="clear"/>
            <w:tcMar>
              <w:top w:type="dxa" w:w="70"/>
              <w:left w:type="dxa" w:w="14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  <w:color w:val="124069"/>
              </w:rPr>
              <w:t xml:space="preserve">Difficulty</w:t>
            </w:r>
          </w:p>
        </w:tc>
        <w:tc>
          <w:tcPr>
            <w:tcW w:type="dxa" w:w="7160"/>
            <w:tcBorders>
              <w:top w:val="single" w:color="C9D9E8" w:sz="4"/>
              <w:left w:val="single" w:color="C9D9E8" w:sz="4"/>
              <w:bottom w:val="single" w:color="C9D9E8" w:sz="4"/>
              <w:right w:val="single" w:color="C9D9E8" w:sz="4"/>
            </w:tcBorders>
            <w:tcMar>
              <w:top w:type="dxa" w:w="70"/>
              <w:left w:type="dxa" w:w="140"/>
              <w:bottom w:type="dxa" w:w="70"/>
              <w:right w:type="dxa" w:w="120"/>
            </w:tcMar>
            <w:vAlign w:val="center"/>
          </w:tcPr>
          <w:p>
            <w:r>
              <w:rPr>
                <w:color w:val="262626"/>
              </w:rPr>
              <w:t xml:space="preserve">Intermediate – Advanced</w:t>
            </w:r>
          </w:p>
        </w:tc>
      </w:tr>
      <w:tr>
        <w:tc>
          <w:tcPr>
            <w:tcW w:type="dxa" w:w="2200"/>
            <w:tcBorders>
              <w:top w:val="single" w:color="C9D9E8" w:sz="4"/>
              <w:left w:val="single" w:color="C9D9E8" w:sz="4"/>
              <w:bottom w:val="single" w:color="C9D9E8" w:sz="4"/>
              <w:right w:val="single" w:color="C9D9E8" w:sz="4"/>
            </w:tcBorders>
            <w:shd w:fill="EAF1F8" w:val="clear"/>
            <w:tcMar>
              <w:top w:type="dxa" w:w="70"/>
              <w:left w:type="dxa" w:w="14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  <w:color w:val="124069"/>
              </w:rPr>
              <w:t xml:space="preserve">Time required</w:t>
            </w:r>
          </w:p>
        </w:tc>
        <w:tc>
          <w:tcPr>
            <w:tcW w:type="dxa" w:w="7160"/>
            <w:tcBorders>
              <w:top w:val="single" w:color="C9D9E8" w:sz="4"/>
              <w:left w:val="single" w:color="C9D9E8" w:sz="4"/>
              <w:bottom w:val="single" w:color="C9D9E8" w:sz="4"/>
              <w:right w:val="single" w:color="C9D9E8" w:sz="4"/>
            </w:tcBorders>
            <w:tcMar>
              <w:top w:type="dxa" w:w="70"/>
              <w:left w:type="dxa" w:w="140"/>
              <w:bottom w:type="dxa" w:w="70"/>
              <w:right w:type="dxa" w:w="120"/>
            </w:tcMar>
            <w:vAlign w:val="center"/>
          </w:tcPr>
          <w:p>
            <w:r>
              <w:rPr>
                <w:color w:val="262626"/>
              </w:rPr>
              <w:t xml:space="preserve">20 – 45 minutes</w:t>
            </w:r>
          </w:p>
        </w:tc>
      </w:tr>
      <w:tr>
        <w:tc>
          <w:tcPr>
            <w:tcW w:type="dxa" w:w="2200"/>
            <w:tcBorders>
              <w:top w:val="single" w:color="C9D9E8" w:sz="4"/>
              <w:left w:val="single" w:color="C9D9E8" w:sz="4"/>
              <w:bottom w:val="single" w:color="C9D9E8" w:sz="4"/>
              <w:right w:val="single" w:color="C9D9E8" w:sz="4"/>
            </w:tcBorders>
            <w:shd w:fill="EAF1F8" w:val="clear"/>
            <w:tcMar>
              <w:top w:type="dxa" w:w="70"/>
              <w:left w:type="dxa" w:w="14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  <w:color w:val="124069"/>
              </w:rPr>
              <w:t xml:space="preserve">Tools needed</w:t>
            </w:r>
          </w:p>
        </w:tc>
        <w:tc>
          <w:tcPr>
            <w:tcW w:type="dxa" w:w="7160"/>
            <w:tcBorders>
              <w:top w:val="single" w:color="C9D9E8" w:sz="4"/>
              <w:left w:val="single" w:color="C9D9E8" w:sz="4"/>
              <w:bottom w:val="single" w:color="C9D9E8" w:sz="4"/>
              <w:right w:val="single" w:color="C9D9E8" w:sz="4"/>
            </w:tcBorders>
            <w:tcMar>
              <w:top w:type="dxa" w:w="70"/>
              <w:left w:type="dxa" w:w="140"/>
              <w:bottom w:type="dxa" w:w="70"/>
              <w:right w:type="dxa" w:w="120"/>
            </w:tcMar>
            <w:vAlign w:val="center"/>
          </w:tcPr>
          <w:p>
            <w:r>
              <w:rPr>
                <w:color w:val="262626"/>
              </w:rPr>
              <w:t xml:space="preserve">Derailleur hanger alignment gauge, Hex keys, Spare hanger (recommended)</w:t>
            </w:r>
          </w:p>
        </w:tc>
      </w:tr>
    </w:tbl>
    <w:p>
      <w:pPr>
        <w:pStyle w:val="Heading2"/>
        <w:pBdr>
          <w:bottom w:val="single" w:color="C9D9E8" w:sz="6" w:space="2"/>
        </w:pBdr>
        <w:spacing w:after="120" w:before="240"/>
      </w:pPr>
      <w:r>
        <w:rPr>
          <w:b/>
          <w:bCs/>
          <w:color w:val="124069"/>
          <w:sz w:val="26"/>
          <w:szCs w:val="26"/>
        </w:rPr>
        <w:t xml:space="preserve">Symptoms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color w:val="262626"/>
        </w:rPr>
        <w:t xml:space="preserve">Shifting is poor across all gears even after indexing.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color w:val="262626"/>
        </w:rPr>
        <w:t xml:space="preserve">The chain shifts unevenly going up vs. down the cassette.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color w:val="262626"/>
        </w:rPr>
        <w:t xml:space="preserve">The rear derailleur looks angled inward toward the wheel.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color w:val="262626"/>
        </w:rPr>
        <w:t xml:space="preserve">Shifting got worse right after the bike fell on its drive side.</w:t>
      </w:r>
    </w:p>
    <w:p>
      <w:pPr>
        <w:spacing w:after="40" w:before="80"/>
        <w:jc w:val="center"/>
      </w:pPr>
      <w:r>
        <w:drawing>
          <wp:inline distT="0" distB="0" distL="0" distR="0">
            <wp:extent cx="4476750" cy="2571750"/>
            <wp:effectExtent t="0" r="0" b="0" l="0"/>
            <wp:docPr id="1" name="drivetrain.png" descr="Figure 1. The hanger holds the rear derailleur in precise alignment with the cassette." title="Figure 1. The hanger holds the rear derailleur in precise alignment with the cassett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A5A5A"/>
          <w:sz w:val="18"/>
          <w:szCs w:val="18"/>
        </w:rPr>
        <w:t xml:space="preserve">Figure 1. The hanger holds the rear derailleur in precise alignment with the cassette.</w:t>
      </w:r>
    </w:p>
    <w:p>
      <w:pPr>
        <w:pStyle w:val="Heading2"/>
        <w:pBdr>
          <w:bottom w:val="single" w:color="C9D9E8" w:sz="6" w:space="2"/>
        </w:pBdr>
        <w:spacing w:after="120" w:before="240"/>
      </w:pPr>
      <w:r>
        <w:rPr>
          <w:b/>
          <w:bCs/>
          <w:color w:val="124069"/>
          <w:sz w:val="26"/>
          <w:szCs w:val="26"/>
        </w:rPr>
        <w:t xml:space="preserve">Likely Causes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color w:val="262626"/>
        </w:rPr>
        <w:t xml:space="preserve">A bent derailleur hanger (the sacrificial bracket between frame and derailleur).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color w:val="262626"/>
        </w:rPr>
        <w:t xml:space="preserve">Impact from a crash, fall, or transport knock.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color w:val="262626"/>
        </w:rPr>
        <w:t xml:space="preserve">A previous over-shift driving the derailleur into the spokes.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color w:val="262626"/>
        </w:rPr>
        <w:t xml:space="preserve">A loose or damaged hanger bolt.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color w:val="262626"/>
        </w:rPr>
        <w:t xml:space="preserve">A bent derailleur cage (separate from the hanger).</w:t>
      </w:r>
    </w:p>
    <w:tbl>
      <w:tblPr>
        <w:tblW w:type="dxa" w:w="9360"/>
        <w:tblBorders>
          <w:top w:val="single" w:color="E0A92A" w:sz="4"/>
          <w:left w:val="single" w:color="E0A92A" w:sz="24"/>
          <w:bottom w:val="single" w:color="E0A92A" w:sz="4"/>
          <w:right w:val="single" w:color="E0A92A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FF7E0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24069"/>
              </w:rPr>
              <w:t xml:space="preserve">Safety first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64"/>
            </w:pPr>
            <w:r>
              <w:rPr>
                <w:color w:val="262626"/>
              </w:rPr>
              <w:t xml:space="preserve">Never shift into the largest cog if the hanger may be bent toward the spokes — the derailleur can enter the wheel.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64"/>
            </w:pPr>
            <w:r>
              <w:rPr>
                <w:color w:val="262626"/>
              </w:rPr>
              <w:t xml:space="preserve">The hanger is designed to bend or break to protect the frame; don't force a badly bent one straight repeatedly.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64"/>
            </w:pPr>
            <w:r>
              <w:rPr>
                <w:color w:val="262626"/>
              </w:rPr>
              <w:t xml:space="preserve">Check alignment before any hard riding after an impact.</w:t>
            </w:r>
          </w:p>
        </w:tc>
      </w:tr>
    </w:tbl>
    <w:p>
      <w:pPr>
        <w:pStyle w:val="Heading2"/>
        <w:pBdr>
          <w:bottom w:val="single" w:color="C9D9E8" w:sz="6" w:space="2"/>
        </w:pBdr>
        <w:spacing w:after="120" w:before="240"/>
      </w:pPr>
      <w:r>
        <w:rPr>
          <w:b/>
          <w:bCs/>
          <w:color w:val="124069"/>
          <w:sz w:val="26"/>
          <w:szCs w:val="26"/>
        </w:rPr>
        <w:t xml:space="preserve">Customer Fix — Step by Step</w:t>
      </w:r>
    </w:p>
    <w:p>
      <w:pPr>
        <w:spacing w:after="120" w:line="276"/>
      </w:pPr>
      <w:r>
        <w:rPr>
          <w:i/>
          <w:iCs/>
          <w:color w:val="5A5A5A"/>
        </w:rPr>
        <w:t xml:space="preserve">Suitable for home repair with basic tools. Work through the steps in order.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color w:val="262626"/>
        </w:rPr>
        <w:t xml:space="preserve">Sight from behind the bike: the rear derailleur and its jockey wheels should sit vertically, parallel to the cassette cogs.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color w:val="262626"/>
        </w:rPr>
        <w:t xml:space="preserve">If the derailleur leans toward the wheel, the hanger is likely bent.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color w:val="262626"/>
        </w:rPr>
        <w:t xml:space="preserve">Carry and fit a spare hanger if you have the correct model — replacement is more reliable than bending.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color w:val="262626"/>
        </w:rPr>
        <w:t xml:space="preserve">After fitting a straight hanger, re-index the rear shifting (see TS-004).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color w:val="262626"/>
        </w:rPr>
        <w:t xml:space="preserve">Test shifts in a safe area, paying attention to the largest cog for clearance.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color w:val="262626"/>
        </w:rPr>
        <w:t xml:space="preserve">If shifting is still off, alignment should be checked with a gauge (technician step).</w:t>
      </w:r>
    </w:p>
    <w:p>
      <w:pPr>
        <w:pStyle w:val="Heading2"/>
        <w:pBdr>
          <w:bottom w:val="single" w:color="C9D9E8" w:sz="6" w:space="2"/>
        </w:pBdr>
        <w:spacing w:after="120" w:before="240"/>
      </w:pPr>
      <w:r>
        <w:rPr>
          <w:b/>
          <w:bCs/>
          <w:color w:val="124069"/>
          <w:sz w:val="26"/>
          <w:szCs w:val="26"/>
        </w:rPr>
        <w:t xml:space="preserve">Technician Reference</w:t>
      </w:r>
    </w:p>
    <w:p>
      <w:pPr>
        <w:spacing w:after="120" w:line="276"/>
      </w:pPr>
      <w:r>
        <w:rPr>
          <w:i/>
          <w:iCs/>
          <w:color w:val="5A5A5A"/>
        </w:rPr>
        <w:t xml:space="preserve">Additional checks and adjustments for service technicians and advanced users.</w:t>
      </w:r>
    </w:p>
    <w:p>
      <w:pPr>
        <w:pStyle w:val="ListParagraph"/>
        <w:numPr>
          <w:ilvl w:val="0"/>
          <w:numId w:val="4"/>
        </w:numPr>
        <w:spacing w:after="80" w:line="270"/>
      </w:pPr>
      <w:r>
        <w:rPr>
          <w:color w:val="262626"/>
        </w:rPr>
        <w:t xml:space="preserve">Thread a hanger alignment gauge into the derailleur mount and measure the rim gap at multiple clock positions.</w:t>
      </w:r>
    </w:p>
    <w:p>
      <w:pPr>
        <w:pStyle w:val="ListParagraph"/>
        <w:numPr>
          <w:ilvl w:val="0"/>
          <w:numId w:val="4"/>
        </w:numPr>
        <w:spacing w:after="80" w:line="270"/>
      </w:pPr>
      <w:r>
        <w:rPr>
          <w:color w:val="262626"/>
        </w:rPr>
        <w:t xml:space="preserve">Gently correct the hanger so the gap is equal all around (alloy hangers can be bent back; replace if cracked).</w:t>
      </w:r>
    </w:p>
    <w:p>
      <w:pPr>
        <w:pStyle w:val="ListParagraph"/>
        <w:numPr>
          <w:ilvl w:val="0"/>
          <w:numId w:val="4"/>
        </w:numPr>
        <w:spacing w:after="80" w:line="270"/>
      </w:pPr>
      <w:r>
        <w:rPr>
          <w:color w:val="262626"/>
        </w:rPr>
        <w:t xml:space="preserve">Confirm the correct hanger model — hangers are frame-specific.</w:t>
      </w:r>
    </w:p>
    <w:p>
      <w:pPr>
        <w:pStyle w:val="ListParagraph"/>
        <w:numPr>
          <w:ilvl w:val="0"/>
          <w:numId w:val="4"/>
        </w:numPr>
        <w:spacing w:after="80" w:line="270"/>
      </w:pPr>
      <w:r>
        <w:rPr>
          <w:color w:val="262626"/>
        </w:rPr>
        <w:t xml:space="preserve">Re-set limit screws, B-tension, and cable indexing after alignment.</w:t>
      </w:r>
    </w:p>
    <w:p>
      <w:pPr>
        <w:pStyle w:val="ListParagraph"/>
        <w:numPr>
          <w:ilvl w:val="0"/>
          <w:numId w:val="4"/>
        </w:numPr>
        <w:spacing w:after="80" w:line="270"/>
      </w:pPr>
      <w:r>
        <w:rPr>
          <w:color w:val="262626"/>
        </w:rPr>
        <w:t xml:space="preserve">Inspect the derailleur cage and pulleys for damage and replace if bent or worn.</w:t>
      </w:r>
    </w:p>
    <w:p>
      <w:pPr>
        <w:pStyle w:val="Heading2"/>
        <w:pBdr>
          <w:bottom w:val="single" w:color="C9D9E8" w:sz="6" w:space="2"/>
        </w:pBdr>
        <w:spacing w:after="120" w:before="240"/>
      </w:pPr>
      <w:r>
        <w:rPr>
          <w:b/>
          <w:bCs/>
          <w:color w:val="124069"/>
          <w:sz w:val="26"/>
          <w:szCs w:val="26"/>
        </w:rPr>
        <w:t xml:space="preserve">Torque &amp; Specifications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3960"/>
      </w:tblGrid>
      <w:tr>
        <w:trPr>
          <w:tblHeader/>
        </w:trPr>
        <w:tc>
          <w:tcPr>
            <w:tcW w:type="dxa" w:w="5400"/>
            <w:tcBorders>
              <w:top w:val="single" w:color="C9D9E8" w:sz="4"/>
              <w:left w:val="single" w:color="C9D9E8" w:sz="4"/>
              <w:bottom w:val="single" w:color="C9D9E8" w:sz="4"/>
              <w:right w:val="single" w:color="C9D9E8" w:sz="4"/>
            </w:tcBorders>
            <w:shd w:fill="1F6FB2" w:val="clear"/>
            <w:tcMar>
              <w:top w:type="dxa" w:w="70"/>
              <w:left w:type="dxa" w:w="14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Fastener / setting</w:t>
            </w:r>
          </w:p>
        </w:tc>
        <w:tc>
          <w:tcPr>
            <w:tcW w:type="dxa" w:w="3960"/>
            <w:tcBorders>
              <w:top w:val="single" w:color="C9D9E8" w:sz="4"/>
              <w:left w:val="single" w:color="C9D9E8" w:sz="4"/>
              <w:bottom w:val="single" w:color="C9D9E8" w:sz="4"/>
              <w:right w:val="single" w:color="C9D9E8" w:sz="4"/>
            </w:tcBorders>
            <w:shd w:fill="1F6FB2" w:val="clear"/>
            <w:tcMar>
              <w:top w:type="dxa" w:w="70"/>
              <w:left w:type="dxa" w:w="14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Specification</w:t>
            </w:r>
          </w:p>
        </w:tc>
      </w:tr>
      <w:tr>
        <w:tc>
          <w:tcPr>
            <w:tcW w:type="dxa" w:w="5400"/>
            <w:tcBorders>
              <w:top w:val="single" w:color="C9D9E8" w:sz="4"/>
              <w:left w:val="single" w:color="C9D9E8" w:sz="4"/>
              <w:bottom w:val="single" w:color="C9D9E8" w:sz="4"/>
              <w:right w:val="single" w:color="C9D9E8" w:sz="4"/>
            </w:tcBorders>
            <w:shd w:fill="EAF1F8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62626"/>
              </w:rPr>
              <w:t xml:space="preserve">Hanger bolt(s)</w:t>
            </w:r>
          </w:p>
        </w:tc>
        <w:tc>
          <w:tcPr>
            <w:tcW w:type="dxa" w:w="3960"/>
            <w:tcBorders>
              <w:top w:val="single" w:color="C9D9E8" w:sz="4"/>
              <w:left w:val="single" w:color="C9D9E8" w:sz="4"/>
              <w:bottom w:val="single" w:color="C9D9E8" w:sz="4"/>
              <w:right w:val="single" w:color="C9D9E8" w:sz="4"/>
            </w:tcBorders>
            <w:shd w:fill="EAF1F8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62626"/>
              </w:rPr>
              <w:t xml:space="preserve">4 – 6 N·m</w:t>
            </w:r>
          </w:p>
        </w:tc>
      </w:tr>
      <w:tr>
        <w:tc>
          <w:tcPr>
            <w:tcW w:type="dxa" w:w="5400"/>
            <w:tcBorders>
              <w:top w:val="single" w:color="C9D9E8" w:sz="4"/>
              <w:left w:val="single" w:color="C9D9E8" w:sz="4"/>
              <w:bottom w:val="single" w:color="C9D9E8" w:sz="4"/>
              <w:right w:val="single" w:color="C9D9E8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62626"/>
              </w:rPr>
              <w:t xml:space="preserve">Derailleur mount bolt</w:t>
            </w:r>
          </w:p>
        </w:tc>
        <w:tc>
          <w:tcPr>
            <w:tcW w:type="dxa" w:w="3960"/>
            <w:tcBorders>
              <w:top w:val="single" w:color="C9D9E8" w:sz="4"/>
              <w:left w:val="single" w:color="C9D9E8" w:sz="4"/>
              <w:bottom w:val="single" w:color="C9D9E8" w:sz="4"/>
              <w:right w:val="single" w:color="C9D9E8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62626"/>
              </w:rPr>
              <w:t xml:space="preserve">8 – 10 N·m</w:t>
            </w:r>
          </w:p>
        </w:tc>
      </w:tr>
      <w:tr>
        <w:tc>
          <w:tcPr>
            <w:tcW w:type="dxa" w:w="5400"/>
            <w:tcBorders>
              <w:top w:val="single" w:color="C9D9E8" w:sz="4"/>
              <w:left w:val="single" w:color="C9D9E8" w:sz="4"/>
              <w:bottom w:val="single" w:color="C9D9E8" w:sz="4"/>
              <w:right w:val="single" w:color="C9D9E8" w:sz="4"/>
            </w:tcBorders>
            <w:shd w:fill="EAF1F8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62626"/>
              </w:rPr>
              <w:t xml:space="preserve">Alignment target</w:t>
            </w:r>
          </w:p>
        </w:tc>
        <w:tc>
          <w:tcPr>
            <w:tcW w:type="dxa" w:w="3960"/>
            <w:tcBorders>
              <w:top w:val="single" w:color="C9D9E8" w:sz="4"/>
              <w:left w:val="single" w:color="C9D9E8" w:sz="4"/>
              <w:bottom w:val="single" w:color="C9D9E8" w:sz="4"/>
              <w:right w:val="single" w:color="C9D9E8" w:sz="4"/>
            </w:tcBorders>
            <w:shd w:fill="EAF1F8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62626"/>
              </w:rPr>
              <w:t xml:space="preserve">Equal rim gap all positions</w:t>
            </w:r>
          </w:p>
        </w:tc>
      </w:tr>
      <w:tr>
        <w:tc>
          <w:tcPr>
            <w:tcW w:type="dxa" w:w="5400"/>
            <w:tcBorders>
              <w:top w:val="single" w:color="C9D9E8" w:sz="4"/>
              <w:left w:val="single" w:color="C9D9E8" w:sz="4"/>
              <w:bottom w:val="single" w:color="C9D9E8" w:sz="4"/>
              <w:right w:val="single" w:color="C9D9E8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62626"/>
              </w:rPr>
              <w:t xml:space="preserve">B-screw gap</w:t>
            </w:r>
          </w:p>
        </w:tc>
        <w:tc>
          <w:tcPr>
            <w:tcW w:type="dxa" w:w="3960"/>
            <w:tcBorders>
              <w:top w:val="single" w:color="C9D9E8" w:sz="4"/>
              <w:left w:val="single" w:color="C9D9E8" w:sz="4"/>
              <w:bottom w:val="single" w:color="C9D9E8" w:sz="4"/>
              <w:right w:val="single" w:color="C9D9E8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62626"/>
              </w:rPr>
              <w:t xml:space="preserve">5 – 6 mm</w:t>
            </w:r>
          </w:p>
        </w:tc>
      </w:tr>
      <w:tr>
        <w:tc>
          <w:tcPr>
            <w:tcW w:type="dxa" w:w="5400"/>
            <w:tcBorders>
              <w:top w:val="single" w:color="C9D9E8" w:sz="4"/>
              <w:left w:val="single" w:color="C9D9E8" w:sz="4"/>
              <w:bottom w:val="single" w:color="C9D9E8" w:sz="4"/>
              <w:right w:val="single" w:color="C9D9E8" w:sz="4"/>
            </w:tcBorders>
            <w:shd w:fill="EAF1F8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62626"/>
              </w:rPr>
              <w:t xml:space="preserve">Hanger type</w:t>
            </w:r>
          </w:p>
        </w:tc>
        <w:tc>
          <w:tcPr>
            <w:tcW w:type="dxa" w:w="3960"/>
            <w:tcBorders>
              <w:top w:val="single" w:color="C9D9E8" w:sz="4"/>
              <w:left w:val="single" w:color="C9D9E8" w:sz="4"/>
              <w:bottom w:val="single" w:color="C9D9E8" w:sz="4"/>
              <w:right w:val="single" w:color="C9D9E8" w:sz="4"/>
            </w:tcBorders>
            <w:shd w:fill="EAF1F8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62626"/>
              </w:rPr>
              <w:t xml:space="preserve">Frame-specific — match exactly</w:t>
            </w:r>
          </w:p>
        </w:tc>
      </w:tr>
    </w:tbl>
    <w:p>
      <w:pPr>
        <w:spacing w:after="40" w:before="80"/>
        <w:jc w:val="center"/>
      </w:pPr>
      <w:r>
        <w:drawing>
          <wp:inline distT="0" distB="0" distL="0" distR="0">
            <wp:extent cx="3429000" cy="1905000"/>
            <wp:effectExtent t="0" r="0" b="0" l="0"/>
            <wp:docPr id="1" name="drivetrain.png" descr="Figure 2. A bent hanger tilts the derailleur and ruins indexing in every gear." title="Figure 2. A bent hanger tilts the derailleur and ruins indexing in every gea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A5A5A"/>
          <w:sz w:val="18"/>
          <w:szCs w:val="18"/>
        </w:rPr>
        <w:t xml:space="preserve">Figure 2. A bent hanger tilts the derailleur and ruins indexing in every gear.</w:t>
      </w:r>
    </w:p>
    <w:tbl>
      <w:tblPr>
        <w:tblW w:type="dxa" w:w="9360"/>
        <w:tblBorders>
          <w:top w:val="single" w:color="1F6FB2" w:sz="4"/>
          <w:left w:val="single" w:color="1F6FB2" w:sz="24"/>
          <w:bottom w:val="single" w:color="1F6FB2" w:sz="4"/>
          <w:right w:val="single" w:color="1F6FB2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8F1FA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24069"/>
              </w:rPr>
              <w:t xml:space="preserve">Pro tips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64"/>
            </w:pPr>
            <w:r>
              <w:rPr>
                <w:color w:val="262626"/>
              </w:rPr>
              <w:t xml:space="preserve">Keep a spare hanger for your exact frame — it's the cheapest insurance against a ruined ride.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64"/>
            </w:pPr>
            <w:r>
              <w:rPr>
                <w:color w:val="262626"/>
              </w:rPr>
              <w:t xml:space="preserve">After any drive-side fall, check hanger alignment before forcing a shift.</w:t>
            </w:r>
          </w:p>
        </w:tc>
      </w:tr>
    </w:tbl>
    <w:p>
      <w:pPr>
        <w:pStyle w:val="Heading2"/>
        <w:pBdr>
          <w:bottom w:val="single" w:color="C9D9E8" w:sz="6" w:space="2"/>
        </w:pBdr>
        <w:spacing w:after="120" w:before="240"/>
      </w:pPr>
      <w:r>
        <w:rPr>
          <w:b/>
          <w:bCs/>
          <w:color w:val="124069"/>
          <w:sz w:val="26"/>
          <w:szCs w:val="26"/>
        </w:rPr>
        <w:t xml:space="preserve">When to Visit a Service Center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color w:val="262626"/>
        </w:rPr>
        <w:t xml:space="preserve">You don't have an alignment gauge or the correct spare hanger.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color w:val="262626"/>
        </w:rPr>
        <w:t xml:space="preserve">The hanger is cracked or the threads are damaged.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color w:val="262626"/>
        </w:rPr>
        <w:t xml:space="preserve">The derailleur body or parallelogram is bent.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color w:val="262626"/>
        </w:rPr>
        <w:t xml:space="preserve">Shifting remains poor after alignment and re-indexing.</w:t>
      </w:r>
    </w:p>
    <w:p>
      <w:pPr>
        <w:pBdr>
          <w:top w:val="single" w:color="C9D9E8" w:sz="6" w:space="4"/>
        </w:pBdr>
        <w:spacing w:before="240"/>
      </w:pPr>
      <w:r>
        <w:rPr>
          <w:i/>
          <w:iCs/>
          <w:color w:val="5A5A5A"/>
          <w:sz w:val="16"/>
          <w:szCs w:val="16"/>
        </w:rPr>
        <w:t xml:space="preserve">This guide is provided for reference. Torque values are typical starting points — always follow the specific component manufacturer's instructions. © Adventure Works.</w:t>
      </w:r>
    </w:p>
    <w:sectPr>
      <w:headerReference w:type="default" r:id="rId7"/>
      <w:footerReference w:type="default" r:id="rId8"/>
      <w:pgSz w:w="12240" w:h="15840" w:orient="portrait"/>
      <w:pgMar w:top="1180" w:right="1440" w:bottom="11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D9E8" w:sz="4" w:space="2"/>
      </w:pBdr>
      <w:tabs>
        <w:tab w:val="right" w:pos="9360"/>
      </w:tabs>
    </w:pPr>
    <w:r>
      <w:rPr>
        <w:color w:val="5A5A5A"/>
        <w:sz w:val="16"/>
        <w:szCs w:val="16"/>
      </w:rPr>
      <w:t xml:space="preserve">TS-016 · Bent Derailleur Hanger and Poor Shifting</w:t>
    </w:r>
    <w:r>
      <w:rPr>
        <w:color w:val="5A5A5A"/>
        <w:sz w:val="16"/>
        <w:szCs w:val="16"/>
      </w:rPr>
      <w:t xml:space="preserve">	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D9E8" w:sz="4" w:space="2"/>
      </w:pBdr>
      <w:tabs>
        <w:tab w:val="right" w:pos="9360"/>
      </w:tabs>
    </w:pPr>
    <w:r>
      <w:rPr>
        <w:color w:val="5A5A5A"/>
        <w:sz w:val="16"/>
        <w:szCs w:val="16"/>
      </w:rPr>
      <w:t xml:space="preserve">Adventure Works — Technical Support</w:t>
    </w:r>
    <w:r>
      <w:rPr>
        <w:b/>
        <w:bCs/>
        <w:color w:val="5A5A5A"/>
        <w:sz w:val="16"/>
        <w:szCs w:val="16"/>
      </w:rPr>
      <w:t xml:space="preserve">	TS-016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62626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120"/>
      <w:outlineLvl w:val="0"/>
    </w:pPr>
    <w:rPr>
      <w:rFonts w:ascii="Arial" w:cs="Arial" w:eastAsia="Arial" w:hAnsi="Arial"/>
      <w:b/>
      <w:bCs/>
      <w:color w:val="124069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2406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70230744f81394fc9d0b3545065991d85ff1c18c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TS-016 — Bent Derailleur Hanger and Poor Shifting</dc:title>
  <dc:creator>Adventure Works Technical Support</dc:creator>
  <dc:description>Adventure Works technical support guide: Bent Derailleur Hanger and Poor Shifting</dc:description>
  <cp:lastModifiedBy>Un-named</cp:lastModifiedBy>
  <cp:revision>1</cp:revision>
  <dcterms:created xsi:type="dcterms:W3CDTF">2026-06-22T16:59:43.979Z</dcterms:created>
  <dcterms:modified xsi:type="dcterms:W3CDTF">2026-06-22T16:59:43.979Z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