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PROJECT 9</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b w:val="1"/>
          <w:color w:val="0257be"/>
          <w:sz w:val="96"/>
          <w:szCs w:val="96"/>
          <w:rtl w:val="0"/>
        </w:rPr>
        <w:t xml:space="preserve">Writing Investigation &amp; Research Report</w:t>
      </w:r>
      <w:r w:rsidDel="00000000" w:rsidR="00000000" w:rsidRPr="00000000">
        <w:rPr>
          <w:rtl w:val="0"/>
        </w:rPr>
      </w:r>
    </w:p>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right"/>
        <w:rPr>
          <w:b w:val="1"/>
          <w:i w:val="1"/>
          <w:sz w:val="24"/>
          <w:szCs w:val="24"/>
        </w:rPr>
      </w:pPr>
      <w:r w:rsidDel="00000000" w:rsidR="00000000" w:rsidRPr="00000000">
        <w:rPr>
          <w:b w:val="1"/>
          <w:i w:val="1"/>
          <w:sz w:val="24"/>
          <w:szCs w:val="24"/>
          <w:rtl w:val="0"/>
        </w:rPr>
        <w:t xml:space="preserve">By Titobiloluwa (Tito) Ilori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0070c0"/>
          <w:sz w:val="28"/>
          <w:szCs w:val="28"/>
        </w:rPr>
      </w:pPr>
      <w:r w:rsidDel="00000000" w:rsidR="00000000" w:rsidRPr="00000000">
        <w:rPr>
          <w:b w:val="1"/>
          <w:color w:val="0070c0"/>
          <w:sz w:val="28"/>
          <w:szCs w:val="28"/>
          <w:rtl w:val="0"/>
        </w:rPr>
        <w:t xml:space="preserve">Table of Content</w:t>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
        <w:gridCol w:w="7650"/>
        <w:gridCol w:w="283"/>
        <w:gridCol w:w="850"/>
        <w:tblGridChange w:id="0">
          <w:tblGrid>
            <w:gridCol w:w="567"/>
            <w:gridCol w:w="7650"/>
            <w:gridCol w:w="283"/>
            <w:gridCol w:w="850"/>
          </w:tblGrid>
        </w:tblGridChange>
      </w:tblGrid>
      <w:tr>
        <w:trPr>
          <w:cantSplit w:val="0"/>
          <w:trHeight w:val="283" w:hRule="atLeast"/>
          <w:tblHeader w:val="0"/>
        </w:trPr>
        <w:tc>
          <w:tcPr>
            <w:tcBorders>
              <w:bottom w:color="000000" w:space="0" w:sz="4" w:val="single"/>
            </w:tcBorders>
            <w:vAlign w:val="center"/>
          </w:tcPr>
          <w:p w:rsidR="00000000" w:rsidDel="00000000" w:rsidP="00000000" w:rsidRDefault="00000000" w:rsidRPr="00000000" w14:paraId="0000000B">
            <w:pPr>
              <w:spacing w:after="0" w:lineRule="auto"/>
              <w:rPr>
                <w:b w:val="1"/>
                <w:color w:val="0070c0"/>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0C">
            <w:pPr>
              <w:spacing w:after="0" w:lineRule="auto"/>
              <w:rPr>
                <w:b w:val="1"/>
                <w:color w:val="0070c0"/>
                <w:sz w:val="24"/>
                <w:szCs w:val="24"/>
              </w:rPr>
            </w:pPr>
            <w:r w:rsidDel="00000000" w:rsidR="00000000" w:rsidRPr="00000000">
              <w:rPr>
                <w:b w:val="1"/>
                <w:color w:val="0070c0"/>
                <w:sz w:val="26"/>
                <w:szCs w:val="26"/>
                <w:rtl w:val="0"/>
              </w:rPr>
              <w:t xml:space="preserve">The Stuxnet Virus Attack</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0D">
            <w:pPr>
              <w:spacing w:after="0" w:lineRule="auto"/>
              <w:rPr>
                <w:b w:val="1"/>
                <w:color w:val="0070c0"/>
                <w:sz w:val="24"/>
                <w:szCs w:val="24"/>
              </w:rPr>
            </w:pPr>
            <w:r w:rsidDel="00000000" w:rsidR="00000000" w:rsidRPr="00000000">
              <w:rPr>
                <w:b w:val="1"/>
                <w:color w:val="0070c0"/>
                <w:sz w:val="24"/>
                <w:szCs w:val="24"/>
                <w:rtl w:val="0"/>
              </w:rPr>
              <w:t xml:space="preserve">Page No.</w:t>
            </w:r>
          </w:p>
        </w:tc>
      </w:tr>
      <w:tr>
        <w:trPr>
          <w:cantSplit w:val="0"/>
          <w:trHeight w:val="283" w:hRule="atLeast"/>
          <w:tblHeader w:val="0"/>
        </w:trPr>
        <w:tc>
          <w:tcPr>
            <w:tcBorders>
              <w:top w:color="000000" w:space="0" w:sz="4" w:val="single"/>
            </w:tcBorders>
            <w:vAlign w:val="center"/>
          </w:tcPr>
          <w:p w:rsidR="00000000" w:rsidDel="00000000" w:rsidP="00000000" w:rsidRDefault="00000000" w:rsidRPr="00000000" w14:paraId="0000000F">
            <w:pPr>
              <w:spacing w:after="0" w:line="360" w:lineRule="auto"/>
              <w:jc w:val="right"/>
              <w:rPr>
                <w:b w:val="1"/>
                <w:color w:val="404040"/>
              </w:rPr>
            </w:pPr>
            <w:r w:rsidDel="00000000" w:rsidR="00000000" w:rsidRPr="00000000">
              <w:rPr>
                <w:b w:val="1"/>
                <w:color w:val="404040"/>
                <w:rtl w:val="0"/>
              </w:rPr>
              <w:t xml:space="preserve">1.1</w:t>
            </w:r>
          </w:p>
        </w:tc>
        <w:tc>
          <w:tcPr>
            <w:gridSpan w:val="2"/>
            <w:tcBorders>
              <w:top w:color="000000" w:space="0" w:sz="4" w:val="single"/>
            </w:tcBorders>
            <w:vAlign w:val="center"/>
          </w:tcPr>
          <w:p w:rsidR="00000000" w:rsidDel="00000000" w:rsidP="00000000" w:rsidRDefault="00000000" w:rsidRPr="00000000" w14:paraId="00000010">
            <w:pPr>
              <w:spacing w:after="0" w:line="360" w:lineRule="auto"/>
              <w:rPr>
                <w:b w:val="1"/>
                <w:color w:val="808080"/>
              </w:rPr>
            </w:pPr>
            <w:r w:rsidDel="00000000" w:rsidR="00000000" w:rsidRPr="00000000">
              <w:rPr>
                <w:b w:val="1"/>
                <w:color w:val="808080"/>
                <w:rtl w:val="0"/>
              </w:rPr>
              <w:t xml:space="preserve">Who Conducted the Attack</w:t>
            </w:r>
          </w:p>
        </w:tc>
        <w:tc>
          <w:tcPr>
            <w:tcBorders>
              <w:top w:color="000000" w:space="0" w:sz="4" w:val="single"/>
            </w:tcBorders>
            <w:vAlign w:val="center"/>
          </w:tcPr>
          <w:p w:rsidR="00000000" w:rsidDel="00000000" w:rsidP="00000000" w:rsidRDefault="00000000" w:rsidRPr="00000000" w14:paraId="00000012">
            <w:pPr>
              <w:spacing w:after="0" w:line="360" w:lineRule="auto"/>
              <w:rPr>
                <w:b w:val="1"/>
                <w:sz w:val="20"/>
                <w:szCs w:val="20"/>
              </w:rPr>
            </w:pPr>
            <w:r w:rsidDel="00000000" w:rsidR="00000000" w:rsidRPr="00000000">
              <w:rPr>
                <w:b w:val="1"/>
                <w:sz w:val="20"/>
                <w:szCs w:val="20"/>
                <w:rtl w:val="0"/>
              </w:rPr>
              <w:t xml:space="preserve">2</w:t>
            </w:r>
          </w:p>
        </w:tc>
      </w:tr>
      <w:tr>
        <w:trPr>
          <w:cantSplit w:val="0"/>
          <w:trHeight w:val="283" w:hRule="atLeast"/>
          <w:tblHeader w:val="0"/>
        </w:trPr>
        <w:tc>
          <w:tcPr>
            <w:vAlign w:val="center"/>
          </w:tcPr>
          <w:p w:rsidR="00000000" w:rsidDel="00000000" w:rsidP="00000000" w:rsidRDefault="00000000" w:rsidRPr="00000000" w14:paraId="00000013">
            <w:pPr>
              <w:spacing w:after="0" w:line="360" w:lineRule="auto"/>
              <w:jc w:val="right"/>
              <w:rPr>
                <w:b w:val="1"/>
                <w:color w:val="404040"/>
              </w:rPr>
            </w:pPr>
            <w:r w:rsidDel="00000000" w:rsidR="00000000" w:rsidRPr="00000000">
              <w:rPr>
                <w:b w:val="1"/>
                <w:color w:val="404040"/>
                <w:rtl w:val="0"/>
              </w:rPr>
              <w:t xml:space="preserve">1.2</w:t>
            </w:r>
          </w:p>
        </w:tc>
        <w:tc>
          <w:tcPr>
            <w:gridSpan w:val="2"/>
            <w:vAlign w:val="center"/>
          </w:tcPr>
          <w:p w:rsidR="00000000" w:rsidDel="00000000" w:rsidP="00000000" w:rsidRDefault="00000000" w:rsidRPr="00000000" w14:paraId="00000014">
            <w:pPr>
              <w:spacing w:after="0" w:line="360" w:lineRule="auto"/>
              <w:rPr>
                <w:b w:val="1"/>
                <w:color w:val="808080"/>
              </w:rPr>
            </w:pPr>
            <w:r w:rsidDel="00000000" w:rsidR="00000000" w:rsidRPr="00000000">
              <w:rPr>
                <w:b w:val="1"/>
                <w:color w:val="808080"/>
                <w:rtl w:val="0"/>
              </w:rPr>
              <w:t xml:space="preserve">Attack Victims</w:t>
            </w:r>
          </w:p>
        </w:tc>
        <w:tc>
          <w:tcPr>
            <w:vAlign w:val="center"/>
          </w:tcPr>
          <w:p w:rsidR="00000000" w:rsidDel="00000000" w:rsidP="00000000" w:rsidRDefault="00000000" w:rsidRPr="00000000" w14:paraId="00000016">
            <w:pPr>
              <w:spacing w:after="0" w:line="360" w:lineRule="auto"/>
              <w:rPr>
                <w:b w:val="1"/>
                <w:sz w:val="20"/>
                <w:szCs w:val="20"/>
              </w:rPr>
            </w:pPr>
            <w:r w:rsidDel="00000000" w:rsidR="00000000" w:rsidRPr="00000000">
              <w:rPr>
                <w:b w:val="1"/>
                <w:sz w:val="20"/>
                <w:szCs w:val="20"/>
                <w:rtl w:val="0"/>
              </w:rPr>
              <w:t xml:space="preserve">2</w:t>
            </w:r>
          </w:p>
        </w:tc>
      </w:tr>
      <w:tr>
        <w:trPr>
          <w:cantSplit w:val="0"/>
          <w:trHeight w:val="283" w:hRule="atLeast"/>
          <w:tblHeader w:val="0"/>
        </w:trPr>
        <w:tc>
          <w:tcPr>
            <w:vAlign w:val="center"/>
          </w:tcPr>
          <w:p w:rsidR="00000000" w:rsidDel="00000000" w:rsidP="00000000" w:rsidRDefault="00000000" w:rsidRPr="00000000" w14:paraId="00000017">
            <w:pPr>
              <w:spacing w:after="0" w:line="360" w:lineRule="auto"/>
              <w:jc w:val="right"/>
              <w:rPr>
                <w:b w:val="1"/>
                <w:color w:val="404040"/>
              </w:rPr>
            </w:pPr>
            <w:r w:rsidDel="00000000" w:rsidR="00000000" w:rsidRPr="00000000">
              <w:rPr>
                <w:b w:val="1"/>
                <w:color w:val="404040"/>
                <w:rtl w:val="0"/>
              </w:rPr>
              <w:t xml:space="preserve">1.3</w:t>
            </w:r>
          </w:p>
        </w:tc>
        <w:tc>
          <w:tcPr>
            <w:gridSpan w:val="2"/>
            <w:vAlign w:val="center"/>
          </w:tcPr>
          <w:p w:rsidR="00000000" w:rsidDel="00000000" w:rsidP="00000000" w:rsidRDefault="00000000" w:rsidRPr="00000000" w14:paraId="00000018">
            <w:pPr>
              <w:spacing w:after="0" w:line="360" w:lineRule="auto"/>
              <w:rPr>
                <w:b w:val="1"/>
                <w:color w:val="808080"/>
              </w:rPr>
            </w:pPr>
            <w:r w:rsidDel="00000000" w:rsidR="00000000" w:rsidRPr="00000000">
              <w:rPr>
                <w:b w:val="1"/>
                <w:color w:val="808080"/>
                <w:rtl w:val="0"/>
              </w:rPr>
              <w:t xml:space="preserve">Attack Technologies and Tools Used</w:t>
            </w:r>
          </w:p>
        </w:tc>
        <w:tc>
          <w:tcPr>
            <w:vAlign w:val="center"/>
          </w:tcPr>
          <w:p w:rsidR="00000000" w:rsidDel="00000000" w:rsidP="00000000" w:rsidRDefault="00000000" w:rsidRPr="00000000" w14:paraId="0000001A">
            <w:pPr>
              <w:spacing w:after="0" w:line="360" w:lineRule="auto"/>
              <w:rPr>
                <w:b w:val="1"/>
                <w:sz w:val="20"/>
                <w:szCs w:val="20"/>
              </w:rPr>
            </w:pPr>
            <w:r w:rsidDel="00000000" w:rsidR="00000000" w:rsidRPr="00000000">
              <w:rPr>
                <w:b w:val="1"/>
                <w:sz w:val="20"/>
                <w:szCs w:val="20"/>
                <w:rtl w:val="0"/>
              </w:rPr>
              <w:t xml:space="preserve">3</w:t>
            </w:r>
          </w:p>
        </w:tc>
      </w:tr>
      <w:tr>
        <w:trPr>
          <w:cantSplit w:val="0"/>
          <w:trHeight w:val="283" w:hRule="atLeast"/>
          <w:tblHeader w:val="0"/>
        </w:trPr>
        <w:tc>
          <w:tcPr>
            <w:vAlign w:val="center"/>
          </w:tcPr>
          <w:p w:rsidR="00000000" w:rsidDel="00000000" w:rsidP="00000000" w:rsidRDefault="00000000" w:rsidRPr="00000000" w14:paraId="0000001B">
            <w:pPr>
              <w:spacing w:after="0" w:line="360" w:lineRule="auto"/>
              <w:jc w:val="right"/>
              <w:rPr>
                <w:b w:val="1"/>
                <w:color w:val="404040"/>
              </w:rPr>
            </w:pPr>
            <w:r w:rsidDel="00000000" w:rsidR="00000000" w:rsidRPr="00000000">
              <w:rPr>
                <w:b w:val="1"/>
                <w:color w:val="404040"/>
                <w:rtl w:val="0"/>
              </w:rPr>
              <w:t xml:space="preserve">1.4</w:t>
            </w:r>
          </w:p>
        </w:tc>
        <w:tc>
          <w:tcPr>
            <w:gridSpan w:val="2"/>
            <w:vAlign w:val="center"/>
          </w:tcPr>
          <w:p w:rsidR="00000000" w:rsidDel="00000000" w:rsidP="00000000" w:rsidRDefault="00000000" w:rsidRPr="00000000" w14:paraId="0000001C">
            <w:pPr>
              <w:spacing w:after="0" w:line="360" w:lineRule="auto"/>
              <w:rPr>
                <w:b w:val="1"/>
                <w:color w:val="808080"/>
              </w:rPr>
            </w:pPr>
            <w:r w:rsidDel="00000000" w:rsidR="00000000" w:rsidRPr="00000000">
              <w:rPr>
                <w:b w:val="1"/>
                <w:color w:val="808080"/>
                <w:rtl w:val="0"/>
              </w:rPr>
              <w:t xml:space="preserve">When Was the Attack Discovered</w:t>
            </w:r>
          </w:p>
        </w:tc>
        <w:tc>
          <w:tcPr>
            <w:vAlign w:val="center"/>
          </w:tcPr>
          <w:p w:rsidR="00000000" w:rsidDel="00000000" w:rsidP="00000000" w:rsidRDefault="00000000" w:rsidRPr="00000000" w14:paraId="0000001E">
            <w:pPr>
              <w:spacing w:after="0" w:line="360" w:lineRule="auto"/>
              <w:rPr>
                <w:b w:val="1"/>
                <w:sz w:val="20"/>
                <w:szCs w:val="20"/>
              </w:rPr>
            </w:pPr>
            <w:r w:rsidDel="00000000" w:rsidR="00000000" w:rsidRPr="00000000">
              <w:rPr>
                <w:b w:val="1"/>
                <w:sz w:val="20"/>
                <w:szCs w:val="20"/>
                <w:rtl w:val="0"/>
              </w:rPr>
              <w:t xml:space="preserve">4</w:t>
            </w:r>
          </w:p>
        </w:tc>
      </w:tr>
      <w:tr>
        <w:trPr>
          <w:cantSplit w:val="0"/>
          <w:trHeight w:val="283" w:hRule="atLeast"/>
          <w:tblHeader w:val="0"/>
        </w:trPr>
        <w:tc>
          <w:tcPr>
            <w:vAlign w:val="center"/>
          </w:tcPr>
          <w:p w:rsidR="00000000" w:rsidDel="00000000" w:rsidP="00000000" w:rsidRDefault="00000000" w:rsidRPr="00000000" w14:paraId="0000001F">
            <w:pPr>
              <w:spacing w:after="0" w:line="360" w:lineRule="auto"/>
              <w:jc w:val="right"/>
              <w:rPr>
                <w:b w:val="1"/>
                <w:color w:val="404040"/>
              </w:rPr>
            </w:pPr>
            <w:r w:rsidDel="00000000" w:rsidR="00000000" w:rsidRPr="00000000">
              <w:rPr>
                <w:b w:val="1"/>
                <w:color w:val="404040"/>
                <w:rtl w:val="0"/>
              </w:rPr>
              <w:t xml:space="preserve">1.5</w:t>
            </w:r>
          </w:p>
        </w:tc>
        <w:tc>
          <w:tcPr>
            <w:gridSpan w:val="2"/>
            <w:vAlign w:val="center"/>
          </w:tcPr>
          <w:p w:rsidR="00000000" w:rsidDel="00000000" w:rsidP="00000000" w:rsidRDefault="00000000" w:rsidRPr="00000000" w14:paraId="00000020">
            <w:pPr>
              <w:spacing w:after="0" w:line="360" w:lineRule="auto"/>
              <w:rPr>
                <w:b w:val="1"/>
                <w:color w:val="808080"/>
              </w:rPr>
            </w:pPr>
            <w:r w:rsidDel="00000000" w:rsidR="00000000" w:rsidRPr="00000000">
              <w:rPr>
                <w:b w:val="1"/>
                <w:color w:val="808080"/>
                <w:rtl w:val="0"/>
              </w:rPr>
              <w:t xml:space="preserve">The Motivation of the Attack</w:t>
            </w:r>
          </w:p>
        </w:tc>
        <w:tc>
          <w:tcPr>
            <w:vAlign w:val="center"/>
          </w:tcPr>
          <w:p w:rsidR="00000000" w:rsidDel="00000000" w:rsidP="00000000" w:rsidRDefault="00000000" w:rsidRPr="00000000" w14:paraId="00000022">
            <w:pPr>
              <w:spacing w:after="0" w:line="360" w:lineRule="auto"/>
              <w:rPr>
                <w:b w:val="1"/>
                <w:sz w:val="20"/>
                <w:szCs w:val="20"/>
              </w:rPr>
            </w:pPr>
            <w:r w:rsidDel="00000000" w:rsidR="00000000" w:rsidRPr="00000000">
              <w:rPr>
                <w:b w:val="1"/>
                <w:sz w:val="20"/>
                <w:szCs w:val="20"/>
                <w:rtl w:val="0"/>
              </w:rPr>
              <w:t xml:space="preserve">4</w:t>
            </w:r>
          </w:p>
        </w:tc>
      </w:tr>
      <w:tr>
        <w:trPr>
          <w:cantSplit w:val="0"/>
          <w:trHeight w:val="283" w:hRule="atLeast"/>
          <w:tblHeader w:val="0"/>
        </w:trPr>
        <w:tc>
          <w:tcPr>
            <w:vAlign w:val="center"/>
          </w:tcPr>
          <w:p w:rsidR="00000000" w:rsidDel="00000000" w:rsidP="00000000" w:rsidRDefault="00000000" w:rsidRPr="00000000" w14:paraId="00000023">
            <w:pPr>
              <w:spacing w:after="0" w:line="360" w:lineRule="auto"/>
              <w:jc w:val="right"/>
              <w:rPr>
                <w:b w:val="1"/>
                <w:color w:val="404040"/>
              </w:rPr>
            </w:pPr>
            <w:r w:rsidDel="00000000" w:rsidR="00000000" w:rsidRPr="00000000">
              <w:rPr>
                <w:b w:val="1"/>
                <w:color w:val="404040"/>
                <w:rtl w:val="0"/>
              </w:rPr>
              <w:t xml:space="preserve">1.6</w:t>
            </w:r>
          </w:p>
        </w:tc>
        <w:tc>
          <w:tcPr>
            <w:gridSpan w:val="2"/>
            <w:vAlign w:val="center"/>
          </w:tcPr>
          <w:p w:rsidR="00000000" w:rsidDel="00000000" w:rsidP="00000000" w:rsidRDefault="00000000" w:rsidRPr="00000000" w14:paraId="00000024">
            <w:pPr>
              <w:spacing w:after="0" w:line="360" w:lineRule="auto"/>
              <w:rPr>
                <w:b w:val="1"/>
                <w:color w:val="808080"/>
              </w:rPr>
            </w:pPr>
            <w:r w:rsidDel="00000000" w:rsidR="00000000" w:rsidRPr="00000000">
              <w:rPr>
                <w:b w:val="1"/>
                <w:color w:val="808080"/>
                <w:rtl w:val="0"/>
              </w:rPr>
              <w:t xml:space="preserve">The Outcome or Impact of the Attack</w:t>
            </w:r>
          </w:p>
        </w:tc>
        <w:tc>
          <w:tcPr>
            <w:vAlign w:val="center"/>
          </w:tcPr>
          <w:p w:rsidR="00000000" w:rsidDel="00000000" w:rsidP="00000000" w:rsidRDefault="00000000" w:rsidRPr="00000000" w14:paraId="00000026">
            <w:pPr>
              <w:spacing w:after="0" w:line="360" w:lineRule="auto"/>
              <w:rPr>
                <w:b w:val="1"/>
                <w:sz w:val="20"/>
                <w:szCs w:val="20"/>
              </w:rPr>
            </w:pPr>
            <w:r w:rsidDel="00000000" w:rsidR="00000000" w:rsidRPr="00000000">
              <w:rPr>
                <w:b w:val="1"/>
                <w:sz w:val="20"/>
                <w:szCs w:val="20"/>
                <w:rtl w:val="0"/>
              </w:rPr>
              <w:t xml:space="preserve">4</w:t>
            </w:r>
          </w:p>
        </w:tc>
      </w:tr>
      <w:tr>
        <w:trPr>
          <w:cantSplit w:val="0"/>
          <w:trHeight w:val="283" w:hRule="atLeast"/>
          <w:tblHeader w:val="0"/>
        </w:trPr>
        <w:tc>
          <w:tcPr>
            <w:vAlign w:val="center"/>
          </w:tcPr>
          <w:p w:rsidR="00000000" w:rsidDel="00000000" w:rsidP="00000000" w:rsidRDefault="00000000" w:rsidRPr="00000000" w14:paraId="00000027">
            <w:pPr>
              <w:spacing w:after="0" w:line="360" w:lineRule="auto"/>
              <w:jc w:val="right"/>
              <w:rPr>
                <w:b w:val="1"/>
                <w:color w:val="404040"/>
              </w:rPr>
            </w:pPr>
            <w:r w:rsidDel="00000000" w:rsidR="00000000" w:rsidRPr="00000000">
              <w:rPr>
                <w:b w:val="1"/>
                <w:color w:val="404040"/>
                <w:rtl w:val="0"/>
              </w:rPr>
              <w:t xml:space="preserve">1.7</w:t>
            </w:r>
          </w:p>
        </w:tc>
        <w:tc>
          <w:tcPr>
            <w:gridSpan w:val="2"/>
            <w:vAlign w:val="center"/>
          </w:tcPr>
          <w:p w:rsidR="00000000" w:rsidDel="00000000" w:rsidP="00000000" w:rsidRDefault="00000000" w:rsidRPr="00000000" w14:paraId="00000028">
            <w:pPr>
              <w:spacing w:after="0" w:line="360" w:lineRule="auto"/>
              <w:rPr>
                <w:b w:val="1"/>
                <w:color w:val="808080"/>
              </w:rPr>
            </w:pPr>
            <w:r w:rsidDel="00000000" w:rsidR="00000000" w:rsidRPr="00000000">
              <w:rPr>
                <w:b w:val="1"/>
                <w:color w:val="808080"/>
                <w:rtl w:val="0"/>
              </w:rPr>
              <w:t xml:space="preserve">Security Controls to Mitigate the Attack in The Future</w:t>
            </w:r>
          </w:p>
        </w:tc>
        <w:tc>
          <w:tcPr>
            <w:vAlign w:val="center"/>
          </w:tcPr>
          <w:p w:rsidR="00000000" w:rsidDel="00000000" w:rsidP="00000000" w:rsidRDefault="00000000" w:rsidRPr="00000000" w14:paraId="0000002A">
            <w:pPr>
              <w:spacing w:after="0" w:line="360" w:lineRule="auto"/>
              <w:rPr>
                <w:b w:val="1"/>
                <w:sz w:val="20"/>
                <w:szCs w:val="20"/>
              </w:rPr>
            </w:pPr>
            <w:r w:rsidDel="00000000" w:rsidR="00000000" w:rsidRPr="00000000">
              <w:rPr>
                <w:b w:val="1"/>
                <w:sz w:val="20"/>
                <w:szCs w:val="20"/>
                <w:rtl w:val="0"/>
              </w:rPr>
              <w:t xml:space="preserve">5</w:t>
            </w:r>
          </w:p>
        </w:tc>
      </w:tr>
      <w:tr>
        <w:trPr>
          <w:cantSplit w:val="0"/>
          <w:trHeight w:val="283" w:hRule="atLeast"/>
          <w:tblHeader w:val="0"/>
        </w:trPr>
        <w:tc>
          <w:tcPr>
            <w:vAlign w:val="center"/>
          </w:tcPr>
          <w:p w:rsidR="00000000" w:rsidDel="00000000" w:rsidP="00000000" w:rsidRDefault="00000000" w:rsidRPr="00000000" w14:paraId="0000002B">
            <w:pPr>
              <w:spacing w:after="0" w:line="360" w:lineRule="auto"/>
              <w:jc w:val="right"/>
              <w:rPr>
                <w:b w:val="1"/>
                <w:color w:val="404040"/>
              </w:rPr>
            </w:pPr>
            <w:r w:rsidDel="00000000" w:rsidR="00000000" w:rsidRPr="00000000">
              <w:rPr>
                <w:b w:val="1"/>
                <w:color w:val="404040"/>
                <w:rtl w:val="0"/>
              </w:rPr>
              <w:t xml:space="preserve">2</w:t>
            </w:r>
          </w:p>
        </w:tc>
        <w:tc>
          <w:tcPr>
            <w:gridSpan w:val="2"/>
            <w:vAlign w:val="center"/>
          </w:tcPr>
          <w:p w:rsidR="00000000" w:rsidDel="00000000" w:rsidP="00000000" w:rsidRDefault="00000000" w:rsidRPr="00000000" w14:paraId="0000002C">
            <w:pPr>
              <w:spacing w:after="0" w:line="360" w:lineRule="auto"/>
              <w:rPr>
                <w:b w:val="1"/>
                <w:color w:val="808080"/>
              </w:rPr>
            </w:pPr>
            <w:r w:rsidDel="00000000" w:rsidR="00000000" w:rsidRPr="00000000">
              <w:rPr>
                <w:b w:val="1"/>
                <w:color w:val="808080"/>
                <w:rtl w:val="0"/>
              </w:rPr>
              <w:t xml:space="preserve">Conclusion</w:t>
            </w:r>
          </w:p>
        </w:tc>
        <w:tc>
          <w:tcPr>
            <w:vAlign w:val="center"/>
          </w:tcPr>
          <w:p w:rsidR="00000000" w:rsidDel="00000000" w:rsidP="00000000" w:rsidRDefault="00000000" w:rsidRPr="00000000" w14:paraId="0000002E">
            <w:pPr>
              <w:spacing w:after="0" w:line="360" w:lineRule="auto"/>
              <w:rPr>
                <w:b w:val="1"/>
                <w:sz w:val="20"/>
                <w:szCs w:val="20"/>
              </w:rPr>
            </w:pPr>
            <w:r w:rsidDel="00000000" w:rsidR="00000000" w:rsidRPr="00000000">
              <w:rPr>
                <w:b w:val="1"/>
                <w:sz w:val="20"/>
                <w:szCs w:val="20"/>
                <w:rtl w:val="0"/>
              </w:rPr>
              <w:t xml:space="preserve">5</w:t>
            </w:r>
          </w:p>
        </w:tc>
      </w:tr>
      <w:tr>
        <w:trPr>
          <w:cantSplit w:val="0"/>
          <w:trHeight w:val="283" w:hRule="atLeast"/>
          <w:tblHeader w:val="0"/>
        </w:trPr>
        <w:tc>
          <w:tcPr>
            <w:vAlign w:val="center"/>
          </w:tcPr>
          <w:p w:rsidR="00000000" w:rsidDel="00000000" w:rsidP="00000000" w:rsidRDefault="00000000" w:rsidRPr="00000000" w14:paraId="0000002F">
            <w:pPr>
              <w:spacing w:after="0" w:line="360" w:lineRule="auto"/>
              <w:rPr>
                <w:b w:val="1"/>
              </w:rPr>
            </w:pPr>
            <w:r w:rsidDel="00000000" w:rsidR="00000000" w:rsidRPr="00000000">
              <w:rPr>
                <w:rtl w:val="0"/>
              </w:rPr>
            </w:r>
          </w:p>
        </w:tc>
        <w:tc>
          <w:tcPr>
            <w:gridSpan w:val="2"/>
            <w:vAlign w:val="center"/>
          </w:tcPr>
          <w:p w:rsidR="00000000" w:rsidDel="00000000" w:rsidP="00000000" w:rsidRDefault="00000000" w:rsidRPr="00000000" w14:paraId="00000030">
            <w:pPr>
              <w:spacing w:after="0" w:line="360" w:lineRule="auto"/>
              <w:rPr>
                <w:b w:val="1"/>
                <w:color w:val="808080"/>
              </w:rPr>
            </w:pPr>
            <w:r w:rsidDel="00000000" w:rsidR="00000000" w:rsidRPr="00000000">
              <w:rPr>
                <w:b w:val="1"/>
                <w:color w:val="404040"/>
                <w:rtl w:val="0"/>
              </w:rPr>
              <w:t xml:space="preserve">Appendix A: </w:t>
            </w:r>
            <w:r w:rsidDel="00000000" w:rsidR="00000000" w:rsidRPr="00000000">
              <w:rPr>
                <w:b w:val="1"/>
                <w:color w:val="808080"/>
                <w:rtl w:val="0"/>
              </w:rPr>
              <w:t xml:space="preserve">References</w:t>
            </w:r>
          </w:p>
        </w:tc>
        <w:tc>
          <w:tcPr>
            <w:vAlign w:val="center"/>
          </w:tcPr>
          <w:p w:rsidR="00000000" w:rsidDel="00000000" w:rsidP="00000000" w:rsidRDefault="00000000" w:rsidRPr="00000000" w14:paraId="00000032">
            <w:pPr>
              <w:spacing w:after="0" w:line="360" w:lineRule="auto"/>
              <w:rPr>
                <w:b w:val="1"/>
                <w:sz w:val="20"/>
                <w:szCs w:val="20"/>
              </w:rPr>
            </w:pPr>
            <w:r w:rsidDel="00000000" w:rsidR="00000000" w:rsidRPr="00000000">
              <w:rPr>
                <w:b w:val="1"/>
                <w:sz w:val="20"/>
                <w:szCs w:val="20"/>
                <w:rtl w:val="0"/>
              </w:rPr>
              <w:t xml:space="preserve">6</w:t>
            </w:r>
          </w:p>
        </w:tc>
      </w:tr>
    </w:tbl>
    <w:p w:rsidR="00000000" w:rsidDel="00000000" w:rsidP="00000000" w:rsidRDefault="00000000" w:rsidRPr="00000000" w14:paraId="00000033">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color w:val="1155cc"/>
          <w:sz w:val="32"/>
          <w:szCs w:val="32"/>
        </w:rPr>
      </w:pPr>
      <w:r w:rsidDel="00000000" w:rsidR="00000000" w:rsidRPr="00000000">
        <w:rPr>
          <w:b w:val="1"/>
          <w:color w:val="1155cc"/>
          <w:sz w:val="32"/>
          <w:szCs w:val="32"/>
          <w:rtl w:val="0"/>
        </w:rPr>
        <w:t xml:space="preserve">The Stuxnet Virus Attack</w:t>
      </w:r>
    </w:p>
    <w:p w:rsidR="00000000" w:rsidDel="00000000" w:rsidP="00000000" w:rsidRDefault="00000000" w:rsidRPr="00000000" w14:paraId="00000035">
      <w:pPr>
        <w:rPr>
          <w:b w:val="1"/>
          <w:color w:val="3c78d8"/>
          <w:sz w:val="24"/>
          <w:szCs w:val="24"/>
        </w:rPr>
      </w:pPr>
      <w:r w:rsidDel="00000000" w:rsidR="00000000" w:rsidRPr="00000000">
        <w:rPr>
          <w:b w:val="1"/>
          <w:color w:val="1c4587"/>
          <w:sz w:val="24"/>
          <w:szCs w:val="24"/>
          <w:rtl w:val="0"/>
        </w:rPr>
        <w:t xml:space="preserve">1.1</w:t>
      </w:r>
      <w:r w:rsidDel="00000000" w:rsidR="00000000" w:rsidRPr="00000000">
        <w:rPr>
          <w:b w:val="1"/>
          <w:color w:val="3c78d8"/>
          <w:sz w:val="24"/>
          <w:szCs w:val="24"/>
          <w:rtl w:val="0"/>
        </w:rPr>
        <w:t xml:space="preserve"> Who Conducted the Attack</w:t>
      </w:r>
    </w:p>
    <w:p w:rsidR="00000000" w:rsidDel="00000000" w:rsidP="00000000" w:rsidRDefault="00000000" w:rsidRPr="00000000" w14:paraId="00000036">
      <w:pPr>
        <w:spacing w:line="276" w:lineRule="auto"/>
        <w:jc w:val="both"/>
        <w:rPr/>
      </w:pPr>
      <w:r w:rsidDel="00000000" w:rsidR="00000000" w:rsidRPr="00000000">
        <w:rPr>
          <w:rtl w:val="0"/>
        </w:rPr>
        <w:t xml:space="preserve">The sophisticated Stuxnet attack was orchestrated through a collaboration between the U.S. National Security Agency (NSA), the Central Intelligence Agency (CIA), and Israeli intelligence agencies. The classified program to develop the worm was given the code name "Operation Olympic Games"; it was begun under President George W. Bush and continued under President Obama. </w:t>
      </w:r>
      <w:r w:rsidDel="00000000" w:rsidR="00000000" w:rsidRPr="00000000">
        <w:rPr>
          <w:sz w:val="24"/>
          <w:szCs w:val="24"/>
          <w:vertAlign w:val="superscript"/>
          <w:rtl w:val="0"/>
        </w:rPr>
        <w:t xml:space="preserve">1,2,3</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b w:val="1"/>
          <w:color w:val="3c78d8"/>
          <w:sz w:val="24"/>
          <w:szCs w:val="24"/>
        </w:rPr>
      </w:pPr>
      <w:r w:rsidDel="00000000" w:rsidR="00000000" w:rsidRPr="00000000">
        <w:rPr>
          <w:b w:val="1"/>
          <w:color w:val="1c4587"/>
          <w:sz w:val="24"/>
          <w:szCs w:val="24"/>
          <w:rtl w:val="0"/>
        </w:rPr>
        <w:t xml:space="preserve">1.2</w:t>
      </w:r>
      <w:r w:rsidDel="00000000" w:rsidR="00000000" w:rsidRPr="00000000">
        <w:rPr>
          <w:b w:val="1"/>
          <w:color w:val="3c78d8"/>
          <w:sz w:val="24"/>
          <w:szCs w:val="24"/>
          <w:rtl w:val="0"/>
        </w:rPr>
        <w:t xml:space="preserve"> Attack Victims:</w:t>
      </w:r>
    </w:p>
    <w:p w:rsidR="00000000" w:rsidDel="00000000" w:rsidP="00000000" w:rsidRDefault="00000000" w:rsidRPr="00000000" w14:paraId="00000039">
      <w:pPr>
        <w:jc w:val="both"/>
        <w:rPr>
          <w:b w:val="1"/>
        </w:rPr>
      </w:pPr>
      <w:r w:rsidDel="00000000" w:rsidR="00000000" w:rsidRPr="00000000">
        <w:rPr/>
        <w:drawing>
          <wp:inline distB="0" distT="0" distL="0" distR="0">
            <wp:extent cx="5943600" cy="3703320"/>
            <wp:effectExtent b="0" l="0" r="0" t="0"/>
            <wp:docPr descr="Stuxnet" id="2018920300" name="image3.png"/>
            <a:graphic>
              <a:graphicData uri="http://schemas.openxmlformats.org/drawingml/2006/picture">
                <pic:pic>
                  <pic:nvPicPr>
                    <pic:cNvPr descr="Stuxnet" id="0" name="image3.png"/>
                    <pic:cNvPicPr preferRelativeResize="0"/>
                  </pic:nvPicPr>
                  <pic:blipFill>
                    <a:blip r:embed="rId7"/>
                    <a:srcRect b="0" l="0" r="0" t="0"/>
                    <a:stretch>
                      <a:fillRect/>
                    </a:stretch>
                  </pic:blipFill>
                  <pic:spPr>
                    <a:xfrm>
                      <a:off x="0" y="0"/>
                      <a:ext cx="5943600" cy="37033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i w:val="1"/>
          <w:color w:val="1c4587"/>
        </w:rPr>
      </w:pPr>
      <w:r w:rsidDel="00000000" w:rsidR="00000000" w:rsidRPr="00000000">
        <w:rPr>
          <w:i w:val="1"/>
          <w:color w:val="1c4587"/>
          <w:rtl w:val="0"/>
        </w:rPr>
        <w:t xml:space="preserve">Fig. 1: First Five Victims of The Stuxnet Worm </w:t>
      </w:r>
      <w:r w:rsidDel="00000000" w:rsidR="00000000" w:rsidRPr="00000000">
        <w:rPr>
          <w:i w:val="1"/>
          <w:color w:val="1c4587"/>
          <w:sz w:val="24"/>
          <w:szCs w:val="24"/>
          <w:vertAlign w:val="superscript"/>
          <w:rtl w:val="0"/>
        </w:rPr>
        <w:t xml:space="preserve">4</w:t>
      </w: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A recent analysis sheds light on Stuxnet's enigmatic strategy. Initial targets within Iran's Industrial Control Systems (ICS) sector included organizations in ICS development and material supply. Notably, the fifth victim was a manufacturer of industrial products, including uranium enrichment centrifuges—Stuxnet's likely focus.</w:t>
      </w:r>
      <w:r w:rsidDel="00000000" w:rsidR="00000000" w:rsidRPr="00000000">
        <w:rPr>
          <w:sz w:val="24"/>
          <w:szCs w:val="24"/>
          <w:vertAlign w:val="superscript"/>
          <w:rtl w:val="0"/>
        </w:rPr>
        <w:t xml:space="preserve">4</w:t>
      </w: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The attackers exploited data exchange between these organizations and clients, such as uranium enrichment facilities, to spread the malware. This approach appears successful, highlighting a calculated supply-chain attack strategy.</w:t>
      </w:r>
      <w:r w:rsidDel="00000000" w:rsidR="00000000" w:rsidRPr="00000000">
        <w:rPr>
          <w:sz w:val="24"/>
          <w:szCs w:val="24"/>
          <w:vertAlign w:val="superscript"/>
          <w:rtl w:val="0"/>
        </w:rPr>
        <w:t xml:space="preserve">4</w:t>
      </w:r>
      <w:r w:rsidDel="00000000" w:rsidR="00000000" w:rsidRPr="00000000">
        <w:rPr>
          <w:rtl w:val="0"/>
        </w:rPr>
      </w:r>
    </w:p>
    <w:p w:rsidR="00000000" w:rsidDel="00000000" w:rsidP="00000000" w:rsidRDefault="00000000" w:rsidRPr="00000000" w14:paraId="0000003D">
      <w:pPr>
        <w:spacing w:line="276" w:lineRule="auto"/>
        <w:jc w:val="both"/>
        <w:rPr/>
      </w:pPr>
      <w:r w:rsidDel="00000000" w:rsidR="00000000" w:rsidRPr="00000000">
        <w:rPr>
          <w:rtl w:val="0"/>
        </w:rPr>
        <w:t xml:space="preserve">According to Alexander Gostev of Kaspersky Lab, this reveals a well-planned operation: "This is an example of a supply-chain attack vector, where the malware is delivered to the target organization indirectly via networks of partners that the target organization may work with."</w:t>
      </w:r>
      <w:r w:rsidDel="00000000" w:rsidR="00000000" w:rsidRPr="00000000">
        <w:rPr>
          <w:sz w:val="24"/>
          <w:szCs w:val="24"/>
          <w:vertAlign w:val="superscript"/>
          <w:rtl w:val="0"/>
        </w:rPr>
        <w:t xml:space="preserve">4</w:t>
      </w:r>
      <w:r w:rsidDel="00000000" w:rsidR="00000000" w:rsidRPr="00000000">
        <w:rPr>
          <w:rtl w:val="0"/>
        </w:rPr>
        <w:t xml:space="preserve"> While its primary target was Iran, the attack later expanded to affect various industrial and energy-producing sites, such as water treatment plants, power plants, and gas lines.</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color w:val="3c78d8"/>
          <w:sz w:val="24"/>
          <w:szCs w:val="24"/>
        </w:rPr>
      </w:pPr>
      <w:r w:rsidDel="00000000" w:rsidR="00000000" w:rsidRPr="00000000">
        <w:rPr>
          <w:b w:val="1"/>
          <w:color w:val="1c4587"/>
          <w:sz w:val="24"/>
          <w:szCs w:val="24"/>
          <w:rtl w:val="0"/>
        </w:rPr>
        <w:t xml:space="preserve">1.3</w:t>
      </w:r>
      <w:r w:rsidDel="00000000" w:rsidR="00000000" w:rsidRPr="00000000">
        <w:rPr>
          <w:b w:val="1"/>
          <w:color w:val="3c78d8"/>
          <w:sz w:val="24"/>
          <w:szCs w:val="24"/>
          <w:rtl w:val="0"/>
        </w:rPr>
        <w:t xml:space="preserve"> Attack Technologies and Tools Used</w:t>
      </w:r>
    </w:p>
    <w:p w:rsidR="00000000" w:rsidDel="00000000" w:rsidP="00000000" w:rsidRDefault="00000000" w:rsidRPr="00000000" w14:paraId="00000040">
      <w:pPr>
        <w:spacing w:line="276" w:lineRule="auto"/>
        <w:jc w:val="both"/>
        <w:rPr>
          <w:sz w:val="24"/>
          <w:szCs w:val="24"/>
          <w:vertAlign w:val="superscript"/>
        </w:rPr>
      </w:pPr>
      <w:r w:rsidDel="00000000" w:rsidR="00000000" w:rsidRPr="00000000">
        <w:rPr>
          <w:rtl w:val="0"/>
        </w:rPr>
        <w:t xml:space="preserve">Stuxnet's adaptable design could be used as a platform to target various sectors, including modern Supervisory Control and Data Acquisition (SCADA) systems and Programmable Logic Controllers (PLCs) in industries like assembly lines and power plants. The malware comprises three key modules: a worm responsible for the main attack actions, a link file that spreads replicated copies of the worm, and a rootkit component that conceals malicious files and processes to evade detection. This modular architecture allowed Stuxnet to effectively target SCADA and PLC systems while maintaining covert operations.</w:t>
      </w:r>
      <w:r w:rsidDel="00000000" w:rsidR="00000000" w:rsidRPr="00000000">
        <w:rPr>
          <w:sz w:val="24"/>
          <w:szCs w:val="24"/>
          <w:vertAlign w:val="superscript"/>
          <w:rtl w:val="0"/>
        </w:rPr>
        <w:t xml:space="preserve">5</w:t>
      </w:r>
    </w:p>
    <w:p w:rsidR="00000000" w:rsidDel="00000000" w:rsidP="00000000" w:rsidRDefault="00000000" w:rsidRPr="00000000" w14:paraId="00000041">
      <w:pPr>
        <w:spacing w:line="276" w:lineRule="auto"/>
        <w:rPr/>
      </w:pPr>
      <w:r w:rsidDel="00000000" w:rsidR="00000000" w:rsidRPr="00000000">
        <w:rPr/>
        <w:drawing>
          <wp:inline distB="0" distT="0" distL="0" distR="0">
            <wp:extent cx="5943600" cy="3824605"/>
            <wp:effectExtent b="0" l="0" r="0" t="0"/>
            <wp:docPr descr="Stuxnet (1)" id="2018920302" name="image2.jpg"/>
            <a:graphic>
              <a:graphicData uri="http://schemas.openxmlformats.org/drawingml/2006/picture">
                <pic:pic>
                  <pic:nvPicPr>
                    <pic:cNvPr descr="Stuxnet (1)" id="0" name="image2.jpg"/>
                    <pic:cNvPicPr preferRelativeResize="0"/>
                  </pic:nvPicPr>
                  <pic:blipFill>
                    <a:blip r:embed="rId8"/>
                    <a:srcRect b="0" l="0" r="0" t="0"/>
                    <a:stretch>
                      <a:fillRect/>
                    </a:stretch>
                  </pic:blipFill>
                  <pic:spPr>
                    <a:xfrm>
                      <a:off x="0" y="0"/>
                      <a:ext cx="5943600" cy="382460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rPr>
          <w:i w:val="1"/>
          <w:color w:val="1c4587"/>
        </w:rPr>
      </w:pPr>
      <w:r w:rsidDel="00000000" w:rsidR="00000000" w:rsidRPr="00000000">
        <w:rPr>
          <w:i w:val="1"/>
          <w:color w:val="1c4587"/>
          <w:rtl w:val="0"/>
        </w:rPr>
        <w:t xml:space="preserve">Fig. 2: Stuxnet Attack Mechanism.</w:t>
      </w:r>
      <w:r w:rsidDel="00000000" w:rsidR="00000000" w:rsidRPr="00000000">
        <w:rPr>
          <w:i w:val="1"/>
          <w:color w:val="1c4587"/>
          <w:sz w:val="24"/>
          <w:szCs w:val="24"/>
          <w:vertAlign w:val="superscript"/>
          <w:rtl w:val="0"/>
        </w:rPr>
        <w:t xml:space="preserve">5</w:t>
      </w: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rtl w:val="0"/>
        </w:rPr>
        <w:t xml:space="preserve">Stuxnet exhibited unparalleled sophistication, capitalizing on multiple undisclosed Windows zero-day vulnerabilities to infiltrate and propagate. The attack centered on programmable logic controllers (PLCs) utilized in industrial automation and harnessed Siemens Step 7 software. The worm propagated through Microsoft Windows computers, primarily leveraging USB sticks as a transmission medium.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3c78d8"/>
          <w:sz w:val="24"/>
          <w:szCs w:val="24"/>
        </w:rPr>
      </w:pPr>
      <w:r w:rsidDel="00000000" w:rsidR="00000000" w:rsidRPr="00000000">
        <w:rPr>
          <w:b w:val="1"/>
          <w:color w:val="1c4587"/>
          <w:sz w:val="24"/>
          <w:szCs w:val="24"/>
          <w:rtl w:val="0"/>
        </w:rPr>
        <w:t xml:space="preserve">1.4 </w:t>
      </w:r>
      <w:r w:rsidDel="00000000" w:rsidR="00000000" w:rsidRPr="00000000">
        <w:rPr>
          <w:b w:val="1"/>
          <w:color w:val="3c78d8"/>
          <w:sz w:val="24"/>
          <w:szCs w:val="24"/>
          <w:rtl w:val="0"/>
        </w:rPr>
        <w:t xml:space="preserve">When Was the Attack Discovered</w:t>
      </w:r>
    </w:p>
    <w:p w:rsidR="00000000" w:rsidDel="00000000" w:rsidP="00000000" w:rsidRDefault="00000000" w:rsidRPr="00000000" w14:paraId="00000046">
      <w:pPr>
        <w:rPr/>
      </w:pPr>
      <w:r w:rsidDel="00000000" w:rsidR="00000000" w:rsidRPr="00000000">
        <w:rPr>
          <w:rtl w:val="0"/>
        </w:rPr>
        <w:t xml:space="preserve">The Stuxnet attack came to light in the year 2010.</w:t>
      </w:r>
      <w:r w:rsidDel="00000000" w:rsidR="00000000" w:rsidRPr="00000000">
        <w:rPr>
          <w:sz w:val="24"/>
          <w:szCs w:val="24"/>
          <w:vertAlign w:val="superscript"/>
          <w:rtl w:val="0"/>
        </w:rPr>
        <w:t xml:space="preserve">1,2</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color w:val="3c78d8"/>
          <w:sz w:val="24"/>
          <w:szCs w:val="24"/>
        </w:rPr>
      </w:pPr>
      <w:r w:rsidDel="00000000" w:rsidR="00000000" w:rsidRPr="00000000">
        <w:rPr>
          <w:b w:val="1"/>
          <w:color w:val="1c4587"/>
          <w:sz w:val="24"/>
          <w:szCs w:val="24"/>
          <w:rtl w:val="0"/>
        </w:rPr>
        <w:t xml:space="preserve">1.5</w:t>
      </w:r>
      <w:r w:rsidDel="00000000" w:rsidR="00000000" w:rsidRPr="00000000">
        <w:rPr>
          <w:b w:val="1"/>
          <w:color w:val="3c78d8"/>
          <w:sz w:val="24"/>
          <w:szCs w:val="24"/>
          <w:rtl w:val="0"/>
        </w:rPr>
        <w:t xml:space="preserve"> The Motivation of the Attack</w:t>
      </w:r>
    </w:p>
    <w:p w:rsidR="00000000" w:rsidDel="00000000" w:rsidP="00000000" w:rsidRDefault="00000000" w:rsidRPr="00000000" w14:paraId="00000049">
      <w:pPr>
        <w:spacing w:line="276" w:lineRule="auto"/>
        <w:jc w:val="both"/>
        <w:rPr/>
      </w:pPr>
      <w:r w:rsidDel="00000000" w:rsidR="00000000" w:rsidRPr="00000000">
        <w:rPr>
          <w:rtl w:val="0"/>
        </w:rPr>
        <w:t xml:space="preserve">The collaborative efforts of the U.S. and Israeli governments in crafting and deploying Stuxnet were driven by the ambition to disrupt or delay Iran's nuclear weapons program. The strategy was to hinder Iran's uranium enrichment process, potentially obstructing the development of atomic weapons. The attack aimed to avert the possibility of Israel resorting to airstrikes on Iranian nuclear facilities, a move that could have escalated into a broader regional conflict.</w:t>
      </w:r>
      <w:r w:rsidDel="00000000" w:rsidR="00000000" w:rsidRPr="00000000">
        <w:rPr>
          <w:sz w:val="24"/>
          <w:szCs w:val="24"/>
          <w:vertAlign w:val="superscript"/>
          <w:rtl w:val="0"/>
        </w:rPr>
        <w:t xml:space="preserve">1, 2.</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3c78d8"/>
          <w:sz w:val="24"/>
          <w:szCs w:val="24"/>
        </w:rPr>
      </w:pPr>
      <w:r w:rsidDel="00000000" w:rsidR="00000000" w:rsidRPr="00000000">
        <w:rPr>
          <w:b w:val="1"/>
          <w:color w:val="1c4587"/>
          <w:sz w:val="24"/>
          <w:szCs w:val="24"/>
          <w:rtl w:val="0"/>
        </w:rPr>
        <w:t xml:space="preserve">1.6</w:t>
      </w:r>
      <w:r w:rsidDel="00000000" w:rsidR="00000000" w:rsidRPr="00000000">
        <w:rPr>
          <w:b w:val="1"/>
          <w:color w:val="3c78d8"/>
          <w:sz w:val="24"/>
          <w:szCs w:val="24"/>
          <w:rtl w:val="0"/>
        </w:rPr>
        <w:t xml:space="preserve"> The Outcome or Impact of the Attack</w:t>
      </w:r>
    </w:p>
    <w:p w:rsidR="00000000" w:rsidDel="00000000" w:rsidP="00000000" w:rsidRDefault="00000000" w:rsidRPr="00000000" w14:paraId="0000004C">
      <w:pPr>
        <w:rPr/>
      </w:pPr>
      <w:r w:rsidDel="00000000" w:rsidR="00000000" w:rsidRPr="00000000">
        <w:rPr>
          <w:rtl w:val="0"/>
        </w:rPr>
        <w:t xml:space="preserve">Stuxnet demonstrated its efficacy by successfully targeting Iran's Natanz uranium enrichment facility. </w:t>
      </w:r>
    </w:p>
    <w:p w:rsidR="00000000" w:rsidDel="00000000" w:rsidP="00000000" w:rsidRDefault="00000000" w:rsidRPr="00000000" w14:paraId="0000004D">
      <w:pPr>
        <w:rPr/>
      </w:pPr>
      <w:r w:rsidDel="00000000" w:rsidR="00000000" w:rsidRPr="00000000">
        <w:rPr/>
        <w:drawing>
          <wp:inline distB="0" distT="0" distL="0" distR="0">
            <wp:extent cx="5943600" cy="2442210"/>
            <wp:effectExtent b="0" l="0" r="0" t="0"/>
            <wp:docPr descr="sw" id="2018920301" name="image1.jpg"/>
            <a:graphic>
              <a:graphicData uri="http://schemas.openxmlformats.org/drawingml/2006/picture">
                <pic:pic>
                  <pic:nvPicPr>
                    <pic:cNvPr descr="sw" id="0" name="image1.jpg"/>
                    <pic:cNvPicPr preferRelativeResize="0"/>
                  </pic:nvPicPr>
                  <pic:blipFill>
                    <a:blip r:embed="rId9"/>
                    <a:srcRect b="0" l="0" r="0" t="0"/>
                    <a:stretch>
                      <a:fillRect/>
                    </a:stretch>
                  </pic:blipFill>
                  <pic:spPr>
                    <a:xfrm>
                      <a:off x="0" y="0"/>
                      <a:ext cx="5943600" cy="244221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i w:val="1"/>
          <w:color w:val="1c4587"/>
        </w:rPr>
      </w:pPr>
      <w:r w:rsidDel="00000000" w:rsidR="00000000" w:rsidRPr="00000000">
        <w:rPr>
          <w:i w:val="1"/>
          <w:color w:val="1c4587"/>
          <w:rtl w:val="0"/>
        </w:rPr>
        <w:t xml:space="preserve">Fig. 3: Highlight of System Damage Caused by Stuxnet.</w:t>
      </w:r>
      <w:r w:rsidDel="00000000" w:rsidR="00000000" w:rsidRPr="00000000">
        <w:rPr>
          <w:i w:val="1"/>
          <w:color w:val="1c4587"/>
          <w:sz w:val="24"/>
          <w:szCs w:val="24"/>
          <w:vertAlign w:val="superscript"/>
          <w:rtl w:val="0"/>
        </w:rPr>
        <w:t xml:space="preserve">5</w:t>
      </w: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t xml:space="preserve">The Federation of American Scientists (FAS) reported a notable drop in Iran's operational enrichment centrifuges, declining from around 4,700 to about 3,900 during the period aligned with the nuclear incident referred to by WikiLeaks. The Institute for Science and International Security (ISIS) proposes that Stuxnet could plausibly account for this decline, potentially causing the destruction of up to 1,000 centrifuges (10 percent) between November 2009 and late January 2010.</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t xml:space="preserve">The worm's impact was tangible, causing disruptions in the operation of centrifuges responsible for uranium enrichment. This marked a watershed moment, underscoring the potential of cyberattacks to yield tangible real-world consequences.</w:t>
      </w:r>
      <w:r w:rsidDel="00000000" w:rsidR="00000000" w:rsidRPr="00000000">
        <w:rPr>
          <w:sz w:val="24"/>
          <w:szCs w:val="24"/>
          <w:vertAlign w:val="superscript"/>
          <w:rtl w:val="0"/>
        </w:rPr>
        <w:t xml:space="preserve">1</w:t>
      </w:r>
      <w:r w:rsidDel="00000000" w:rsidR="00000000" w:rsidRPr="00000000">
        <w:rPr>
          <w:rtl w:val="0"/>
        </w:rPr>
        <w:t xml:space="preserve"> Over time, Stuxnet's adaptations were employed to target additional facilities beyond Iran, revealing its broader utility.</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76" w:lineRule="auto"/>
        <w:rPr>
          <w:b w:val="1"/>
          <w:color w:val="3c78d8"/>
          <w:sz w:val="24"/>
          <w:szCs w:val="24"/>
        </w:rPr>
      </w:pPr>
      <w:r w:rsidDel="00000000" w:rsidR="00000000" w:rsidRPr="00000000">
        <w:rPr>
          <w:b w:val="1"/>
          <w:color w:val="1c4587"/>
          <w:sz w:val="24"/>
          <w:szCs w:val="24"/>
          <w:rtl w:val="0"/>
        </w:rPr>
        <w:t xml:space="preserve">1.7</w:t>
      </w:r>
      <w:r w:rsidDel="00000000" w:rsidR="00000000" w:rsidRPr="00000000">
        <w:rPr>
          <w:b w:val="1"/>
          <w:color w:val="3c78d8"/>
          <w:sz w:val="24"/>
          <w:szCs w:val="24"/>
          <w:rtl w:val="0"/>
        </w:rPr>
        <w:t xml:space="preserve"> Security Controls to Mitigate the Attack in The Future</w:t>
      </w:r>
    </w:p>
    <w:p w:rsidR="00000000" w:rsidDel="00000000" w:rsidP="00000000" w:rsidRDefault="00000000" w:rsidRPr="00000000" w14:paraId="00000053">
      <w:pPr>
        <w:spacing w:line="276" w:lineRule="auto"/>
        <w:jc w:val="both"/>
        <w:rPr/>
      </w:pPr>
      <w:r w:rsidDel="00000000" w:rsidR="00000000" w:rsidRPr="00000000">
        <w:rPr>
          <w:u w:val="single"/>
          <w:rtl w:val="0"/>
        </w:rPr>
        <w:t xml:space="preserve">Patching and Updates</w:t>
      </w:r>
      <w:r w:rsidDel="00000000" w:rsidR="00000000" w:rsidRPr="00000000">
        <w:rPr>
          <w:sz w:val="24"/>
          <w:szCs w:val="24"/>
          <w:u w:val="single"/>
          <w:vertAlign w:val="superscript"/>
          <w:rtl w:val="0"/>
        </w:rPr>
        <w:t xml:space="preserve">6</w:t>
      </w:r>
      <w:r w:rsidDel="00000000" w:rsidR="00000000" w:rsidRPr="00000000">
        <w:rPr>
          <w:rtl w:val="0"/>
        </w:rPr>
        <w:t xml:space="preserve">: Regularly applying security patches and updates to operating systems and software is paramount to mitigating vulnerabilities exploited by malware like Stuxnet.</w:t>
      </w:r>
    </w:p>
    <w:p w:rsidR="00000000" w:rsidDel="00000000" w:rsidP="00000000" w:rsidRDefault="00000000" w:rsidRPr="00000000" w14:paraId="00000054">
      <w:pPr>
        <w:spacing w:line="276" w:lineRule="auto"/>
        <w:jc w:val="both"/>
        <w:rPr/>
      </w:pPr>
      <w:r w:rsidDel="00000000" w:rsidR="00000000" w:rsidRPr="00000000">
        <w:rPr>
          <w:u w:val="single"/>
          <w:rtl w:val="0"/>
        </w:rPr>
        <w:t xml:space="preserve">Network Segmentation</w:t>
      </w:r>
      <w:r w:rsidDel="00000000" w:rsidR="00000000" w:rsidRPr="00000000">
        <w:rPr>
          <w:sz w:val="24"/>
          <w:szCs w:val="24"/>
          <w:u w:val="single"/>
          <w:vertAlign w:val="superscript"/>
          <w:rtl w:val="0"/>
        </w:rPr>
        <w:t xml:space="preserve">7</w:t>
      </w:r>
      <w:r w:rsidDel="00000000" w:rsidR="00000000" w:rsidRPr="00000000">
        <w:rPr>
          <w:rtl w:val="0"/>
        </w:rPr>
        <w:t xml:space="preserve">: To forestall malware propagation, critical industrial networks should be segregated from the public internet.</w:t>
      </w:r>
    </w:p>
    <w:p w:rsidR="00000000" w:rsidDel="00000000" w:rsidP="00000000" w:rsidRDefault="00000000" w:rsidRPr="00000000" w14:paraId="00000055">
      <w:pPr>
        <w:spacing w:line="276" w:lineRule="auto"/>
        <w:jc w:val="both"/>
        <w:rPr/>
      </w:pPr>
      <w:r w:rsidDel="00000000" w:rsidR="00000000" w:rsidRPr="00000000">
        <w:rPr>
          <w:u w:val="single"/>
          <w:rtl w:val="0"/>
        </w:rPr>
        <w:t xml:space="preserve">Robust Access Controls</w:t>
      </w:r>
      <w:r w:rsidDel="00000000" w:rsidR="00000000" w:rsidRPr="00000000">
        <w:rPr>
          <w:sz w:val="24"/>
          <w:szCs w:val="24"/>
          <w:u w:val="single"/>
          <w:vertAlign w:val="superscript"/>
          <w:rtl w:val="0"/>
        </w:rPr>
        <w:t xml:space="preserve">7</w:t>
      </w:r>
      <w:r w:rsidDel="00000000" w:rsidR="00000000" w:rsidRPr="00000000">
        <w:rPr>
          <w:rtl w:val="0"/>
        </w:rPr>
        <w:t xml:space="preserve">: Enforce stringent access controls through firewalls and intrusion detection systems to monitor and manage network traffic effectively.</w:t>
      </w:r>
    </w:p>
    <w:p w:rsidR="00000000" w:rsidDel="00000000" w:rsidP="00000000" w:rsidRDefault="00000000" w:rsidRPr="00000000" w14:paraId="00000056">
      <w:pPr>
        <w:spacing w:line="276" w:lineRule="auto"/>
        <w:jc w:val="both"/>
        <w:rPr/>
      </w:pPr>
      <w:r w:rsidDel="00000000" w:rsidR="00000000" w:rsidRPr="00000000">
        <w:rPr>
          <w:u w:val="single"/>
          <w:rtl w:val="0"/>
        </w:rPr>
        <w:t xml:space="preserve">USB Device Policies</w:t>
      </w:r>
      <w:r w:rsidDel="00000000" w:rsidR="00000000" w:rsidRPr="00000000">
        <w:rPr>
          <w:sz w:val="24"/>
          <w:szCs w:val="24"/>
          <w:u w:val="single"/>
          <w:vertAlign w:val="superscript"/>
          <w:rtl w:val="0"/>
        </w:rPr>
        <w:t xml:space="preserve">6</w:t>
      </w:r>
      <w:r w:rsidDel="00000000" w:rsidR="00000000" w:rsidRPr="00000000">
        <w:rPr>
          <w:rtl w:val="0"/>
        </w:rPr>
        <w:t xml:space="preserve">: Instate and enforce policies governing the use of USB drives and other removable media. Disabling autorun functionality curbs the automatic execution of malicious code from USB devices.</w:t>
      </w:r>
    </w:p>
    <w:p w:rsidR="00000000" w:rsidDel="00000000" w:rsidP="00000000" w:rsidRDefault="00000000" w:rsidRPr="00000000" w14:paraId="00000057">
      <w:pPr>
        <w:spacing w:line="276" w:lineRule="auto"/>
        <w:jc w:val="both"/>
        <w:rPr/>
      </w:pPr>
      <w:r w:rsidDel="00000000" w:rsidR="00000000" w:rsidRPr="00000000">
        <w:rPr>
          <w:u w:val="single"/>
          <w:rtl w:val="0"/>
        </w:rPr>
        <w:t xml:space="preserve">Comprehensive Security Audits</w:t>
      </w:r>
      <w:r w:rsidDel="00000000" w:rsidR="00000000" w:rsidRPr="00000000">
        <w:rPr>
          <w:sz w:val="24"/>
          <w:szCs w:val="24"/>
          <w:u w:val="single"/>
          <w:vertAlign w:val="superscript"/>
          <w:rtl w:val="0"/>
        </w:rPr>
        <w:t xml:space="preserve">7</w:t>
      </w:r>
      <w:r w:rsidDel="00000000" w:rsidR="00000000" w:rsidRPr="00000000">
        <w:rPr>
          <w:rtl w:val="0"/>
        </w:rPr>
        <w:t xml:space="preserve">: Regular security audits identify vulnerabilities and potential malware entry points, facilitating timely counteraction.</w:t>
      </w:r>
    </w:p>
    <w:p w:rsidR="00000000" w:rsidDel="00000000" w:rsidP="00000000" w:rsidRDefault="00000000" w:rsidRPr="00000000" w14:paraId="00000058">
      <w:pPr>
        <w:spacing w:line="276" w:lineRule="auto"/>
        <w:jc w:val="both"/>
        <w:rPr/>
      </w:pPr>
      <w:r w:rsidDel="00000000" w:rsidR="00000000" w:rsidRPr="00000000">
        <w:rPr>
          <w:u w:val="single"/>
          <w:rtl w:val="0"/>
        </w:rPr>
        <w:t xml:space="preserve">Behavioural Analysis Tools</w:t>
      </w:r>
      <w:r w:rsidDel="00000000" w:rsidR="00000000" w:rsidRPr="00000000">
        <w:rPr>
          <w:rtl w:val="0"/>
        </w:rPr>
        <w:t xml:space="preserve">: Employ behavioural analysis tools to detect aberrant activity patterns within industrial control systems, indicative of malware infection.</w:t>
      </w:r>
    </w:p>
    <w:p w:rsidR="00000000" w:rsidDel="00000000" w:rsidP="00000000" w:rsidRDefault="00000000" w:rsidRPr="00000000" w14:paraId="00000059">
      <w:pPr>
        <w:spacing w:line="276" w:lineRule="auto"/>
        <w:jc w:val="both"/>
        <w:rPr/>
      </w:pPr>
      <w:r w:rsidDel="00000000" w:rsidR="00000000" w:rsidRPr="00000000">
        <w:rPr>
          <w:u w:val="single"/>
          <w:rtl w:val="0"/>
        </w:rPr>
        <w:t xml:space="preserve">Cybersecurity Training</w:t>
      </w:r>
      <w:r w:rsidDel="00000000" w:rsidR="00000000" w:rsidRPr="00000000">
        <w:rPr>
          <w:sz w:val="24"/>
          <w:szCs w:val="24"/>
          <w:u w:val="single"/>
          <w:vertAlign w:val="superscript"/>
          <w:rtl w:val="0"/>
        </w:rPr>
        <w:t xml:space="preserve">7</w:t>
      </w:r>
      <w:r w:rsidDel="00000000" w:rsidR="00000000" w:rsidRPr="00000000">
        <w:rPr>
          <w:rtl w:val="0"/>
        </w:rPr>
        <w:t xml:space="preserve">: Disseminate cybersecurity training to employees, heightening vigilance against social engineering and unauthorized device use.</w:t>
      </w:r>
    </w:p>
    <w:p w:rsidR="00000000" w:rsidDel="00000000" w:rsidP="00000000" w:rsidRDefault="00000000" w:rsidRPr="00000000" w14:paraId="0000005A">
      <w:pPr>
        <w:spacing w:line="276" w:lineRule="auto"/>
        <w:jc w:val="both"/>
        <w:rPr/>
      </w:pPr>
      <w:r w:rsidDel="00000000" w:rsidR="00000000" w:rsidRPr="00000000">
        <w:rPr>
          <w:u w:val="single"/>
          <w:rtl w:val="0"/>
        </w:rPr>
        <w:t xml:space="preserve">Collaboration with Vendors</w:t>
      </w:r>
      <w:r w:rsidDel="00000000" w:rsidR="00000000" w:rsidRPr="00000000">
        <w:rPr>
          <w:sz w:val="24"/>
          <w:szCs w:val="24"/>
          <w:u w:val="single"/>
          <w:vertAlign w:val="superscript"/>
          <w:rtl w:val="0"/>
        </w:rPr>
        <w:t xml:space="preserve">7</w:t>
      </w:r>
      <w:r w:rsidDel="00000000" w:rsidR="00000000" w:rsidRPr="00000000">
        <w:rPr>
          <w:rtl w:val="0"/>
        </w:rPr>
        <w:t xml:space="preserve">: Forge strong collaborations with software and hardware vendors to ensure timely provisions of updates and patches for critical systems.</w:t>
      </w:r>
    </w:p>
    <w:p w:rsidR="00000000" w:rsidDel="00000000" w:rsidP="00000000" w:rsidRDefault="00000000" w:rsidRPr="00000000" w14:paraId="0000005B">
      <w:pPr>
        <w:spacing w:line="276" w:lineRule="auto"/>
        <w:jc w:val="both"/>
        <w:rPr/>
      </w:pPr>
      <w:r w:rsidDel="00000000" w:rsidR="00000000" w:rsidRPr="00000000">
        <w:rPr>
          <w:u w:val="single"/>
          <w:rtl w:val="0"/>
        </w:rPr>
        <w:t xml:space="preserve">Air-Gapping Critical Systems</w:t>
      </w:r>
      <w:r w:rsidDel="00000000" w:rsidR="00000000" w:rsidRPr="00000000">
        <w:rPr>
          <w:rtl w:val="0"/>
        </w:rPr>
        <w:t xml:space="preserve">: If feasible, physically segregate crucial systems from external networks, mitigating the risk of external threat infiltration.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color w:val="3c78d8"/>
          <w:sz w:val="28"/>
          <w:szCs w:val="28"/>
        </w:rPr>
      </w:pPr>
      <w:r w:rsidDel="00000000" w:rsidR="00000000" w:rsidRPr="00000000">
        <w:rPr>
          <w:b w:val="1"/>
          <w:color w:val="1c4587"/>
          <w:sz w:val="28"/>
          <w:szCs w:val="28"/>
          <w:rtl w:val="0"/>
        </w:rPr>
        <w:t xml:space="preserve">2</w:t>
      </w:r>
      <w:r w:rsidDel="00000000" w:rsidR="00000000" w:rsidRPr="00000000">
        <w:rPr>
          <w:b w:val="1"/>
          <w:color w:val="3c78d8"/>
          <w:sz w:val="28"/>
          <w:szCs w:val="28"/>
          <w:rtl w:val="0"/>
        </w:rPr>
        <w:t xml:space="preserve"> Conclusion</w:t>
      </w:r>
    </w:p>
    <w:p w:rsidR="00000000" w:rsidDel="00000000" w:rsidP="00000000" w:rsidRDefault="00000000" w:rsidRPr="00000000" w14:paraId="0000005F">
      <w:pPr>
        <w:jc w:val="both"/>
        <w:rPr/>
      </w:pPr>
      <w:r w:rsidDel="00000000" w:rsidR="00000000" w:rsidRPr="00000000">
        <w:rPr>
          <w:rtl w:val="0"/>
        </w:rPr>
        <w:t xml:space="preserve">The Stuxnet attack underscored the potential for cyberattacks to transcend virtual boundaries and impact critical industrial infrastructure. Consequently, organizations must adopt comprehensive cybersecurity strategies to safeguard their operations against the evolving threats posed by sophisticated malware such as Stuxnet.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1155cc"/>
          <w:sz w:val="28"/>
          <w:szCs w:val="28"/>
        </w:rPr>
      </w:pPr>
      <w:r w:rsidDel="00000000" w:rsidR="00000000" w:rsidRPr="00000000">
        <w:rPr>
          <w:b w:val="1"/>
          <w:color w:val="1c4587"/>
          <w:sz w:val="28"/>
          <w:szCs w:val="28"/>
          <w:rtl w:val="0"/>
        </w:rPr>
        <w:t xml:space="preserve">Appendix A:</w:t>
      </w:r>
      <w:r w:rsidDel="00000000" w:rsidR="00000000" w:rsidRPr="00000000">
        <w:rPr>
          <w:b w:val="1"/>
          <w:color w:val="1155cc"/>
          <w:sz w:val="28"/>
          <w:szCs w:val="28"/>
          <w:rtl w:val="0"/>
        </w:rPr>
        <w:t xml:space="preserve"> References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The Stuxnet Worm | Paul Mueller and Babak Yadegari (2012) - </w:t>
      </w:r>
      <w:hyperlink r:id="rId10">
        <w:r w:rsidDel="00000000" w:rsidR="00000000" w:rsidRPr="00000000">
          <w:rPr>
            <w:color w:val="0563c1"/>
            <w:u w:val="single"/>
            <w:rtl w:val="0"/>
          </w:rPr>
          <w:t xml:space="preserve">https://www2.cs.arizona.edu/~collberg/Teaching/466-566/2012/Resources/presentations/topic9-final/report.pdf</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2. STUXNET | Matisoft Cybersecurity Labs - </w:t>
      </w:r>
      <w:hyperlink r:id="rId11">
        <w:r w:rsidDel="00000000" w:rsidR="00000000" w:rsidRPr="00000000">
          <w:rPr>
            <w:color w:val="0563c1"/>
            <w:u w:val="single"/>
            <w:rtl w:val="0"/>
          </w:rPr>
          <w:t xml:space="preserve">https://www.matisoftlabs.com/case-studies/stuxnet</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3.  Contributors. Stuxnet. Technical report, World Wide Web, </w:t>
      </w:r>
      <w:hyperlink r:id="rId12">
        <w:r w:rsidDel="00000000" w:rsidR="00000000" w:rsidRPr="00000000">
          <w:rPr>
            <w:color w:val="0563c1"/>
            <w:u w:val="single"/>
            <w:rtl w:val="0"/>
          </w:rPr>
          <w:t xml:space="preserve">http://en.wikipedia.org/wiki/Stuxnet</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4. Stuxnet Patient Zero: First Victims of the Infamous Worm Revealed | Kaspersky (November 11, 2014) - </w:t>
      </w:r>
      <w:hyperlink r:id="rId13">
        <w:r w:rsidDel="00000000" w:rsidR="00000000" w:rsidRPr="00000000">
          <w:rPr>
            <w:color w:val="0563c1"/>
            <w:u w:val="single"/>
            <w:rtl w:val="0"/>
          </w:rPr>
          <w:t xml:space="preserve">https://www.kaspersky.com/about/press-releases/2014_stuxnet-patient-zero-first-victims-of-the-infamous-worm-revealed</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5. Remote Control: Stuxnet | Sara Kirchner (December 7, 2017) - </w:t>
      </w:r>
      <w:hyperlink r:id="rId14">
        <w:r w:rsidDel="00000000" w:rsidR="00000000" w:rsidRPr="00000000">
          <w:rPr>
            <w:color w:val="0563c1"/>
            <w:u w:val="single"/>
            <w:rtl w:val="0"/>
          </w:rPr>
          <w:t xml:space="preserve">https://roughdiplomacy.com/stuxnet/</w:t>
        </w:r>
      </w:hyperlink>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6. Stuxnet Malware Mitigation (Update B) | CISA - ICS ADVISORY (January 08, 2014) - </w:t>
      </w:r>
      <w:hyperlink r:id="rId15">
        <w:r w:rsidDel="00000000" w:rsidR="00000000" w:rsidRPr="00000000">
          <w:rPr>
            <w:color w:val="0563c1"/>
            <w:u w:val="single"/>
            <w:rtl w:val="0"/>
          </w:rPr>
          <w:t xml:space="preserve">https://www.cisa.gov/news-events/ics-advisories/icsa-10-238-01b#:~:text=ICS%2DCERT%20recommends%20that%20control,to%20making%20any%20system%20changes</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7. Stuxnet Mitigation | SCADA Hacker (January 21, 2014) - </w:t>
      </w:r>
      <w:hyperlink r:id="rId16">
        <w:r w:rsidDel="00000000" w:rsidR="00000000" w:rsidRPr="00000000">
          <w:rPr>
            <w:color w:val="0563c1"/>
            <w:u w:val="single"/>
            <w:rtl w:val="0"/>
          </w:rPr>
          <w:t xml:space="preserve">https://scadahacker.com/resources/stuxnet-mitigation.html</w:t>
        </w:r>
      </w:hyperlink>
      <w:r w:rsidDel="00000000" w:rsidR="00000000" w:rsidRPr="00000000">
        <w:rPr>
          <w:rtl w:val="0"/>
        </w:rPr>
        <w:t xml:space="preserve"> </w:t>
      </w:r>
    </w:p>
    <w:sectPr>
      <w:footerReference r:id="rId1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left w:color="4472c4" w:space="11" w:sz="12" w:val="single"/>
      </w:pBdr>
      <w:tabs>
        <w:tab w:val="left" w:leader="none" w:pos="622"/>
      </w:tabs>
      <w:spacing w:after="0"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914FD4"/>
    <w:rPr>
      <w:color w:val="0563c1" w:themeColor="hyperlink"/>
      <w:u w:val="single"/>
    </w:rPr>
  </w:style>
  <w:style w:type="character" w:styleId="UnresolvedMention">
    <w:name w:val="Unresolved Mention"/>
    <w:basedOn w:val="DefaultParagraphFont"/>
    <w:uiPriority w:val="99"/>
    <w:semiHidden w:val="1"/>
    <w:unhideWhenUsed w:val="1"/>
    <w:rsid w:val="00914FD4"/>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E766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663E"/>
  </w:style>
  <w:style w:type="paragraph" w:styleId="Footer">
    <w:name w:val="footer"/>
    <w:basedOn w:val="Normal"/>
    <w:link w:val="FooterChar"/>
    <w:uiPriority w:val="99"/>
    <w:unhideWhenUsed w:val="1"/>
    <w:rsid w:val="00E766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663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tisoftlabs.com/case-studies/stuxnet" TargetMode="External"/><Relationship Id="rId10" Type="http://schemas.openxmlformats.org/officeDocument/2006/relationships/hyperlink" Target="https://www2.cs.arizona.edu/~collberg/Teaching/466-566/2012/Resources/presentations/topic9-final/report.pdf" TargetMode="External"/><Relationship Id="rId13" Type="http://schemas.openxmlformats.org/officeDocument/2006/relationships/hyperlink" Target="https://www.kaspersky.com/about/press-releases/2014_stuxnet-patient-zero-first-victims-of-the-infamous-worm-revealed" TargetMode="External"/><Relationship Id="rId12" Type="http://schemas.openxmlformats.org/officeDocument/2006/relationships/hyperlink" Target="http://en.wikipedia.org/wiki/Stux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www.cisa.gov/news-events/ics-advisories/icsa-10-238-01b#:~:text=ICS%2DCERT%20recommends%20that%20control,to%20making%20any%20system%20changes" TargetMode="External"/><Relationship Id="rId14" Type="http://schemas.openxmlformats.org/officeDocument/2006/relationships/hyperlink" Target="https://roughdiplomacy.com/stuxnet/" TargetMode="External"/><Relationship Id="rId17" Type="http://schemas.openxmlformats.org/officeDocument/2006/relationships/footer" Target="footer1.xml"/><Relationship Id="rId16" Type="http://schemas.openxmlformats.org/officeDocument/2006/relationships/hyperlink" Target="https://scadahacker.com/resources/stuxnet-mitigation.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hRE38HupUxdJr2yzpLEKDhLX0w==">CgMxLjA4AHIhMTZyWmNEYm9Va2NmUWVZNWM5WEcybTZTdTRlQlloclN4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2023-08-21T11:19:00Z</dcterms:created>
  <dc:creator>Tito ILORI</dc:creator>
</cp:coreProperties>
</file>