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579042A4" w14:textId="0576BED2" w:rsidR="006300E4" w:rsidRDefault="006300E4" w:rsidP="006300E4">
      <w:pPr>
        <w:spacing w:after="40"/>
        <w:jc w:val="center"/>
        <w:rPr>
          <w:color w:val="595959"/>
          <w:sz w:val="16"/>
          <w:szCs w:val="16"/>
        </w:rPr>
      </w:pPr>
      <w:r>
        <w:rPr>
          <w:noProof/>
          <w:color w:val="595959"/>
          <w:sz w:val="16"/>
          <w:szCs w:val="16"/>
        </w:rPr>
        <w:drawing>
          <wp:inline distT="0" distB="0" distL="0" distR="0" wp14:anchorId="37834133" wp14:editId="790426F7">
            <wp:extent cx="2047875" cy="402298"/>
            <wp:effectExtent l="0" t="0" r="0" b="0"/>
            <wp:docPr id="873954107" name="Grafik 1"/>
            <wp:cNvGraphicFramePr>
              <a:graphicFrameLocks noChangeAspect="1"/>
            </wp:cNvGraphicFramePr>
            <a:graphic>
              <a:graphicData uri="http://schemas.openxmlformats.org/drawingml/2006/picture">
                <pic:pic>
                  <pic:nvPicPr>
                    <pic:cNvPr id="873954107" name="Grafik 873954107"/>
                    <pic:cNvPicPr/>
                  </pic:nvPicPr>
                  <pic:blipFill>
                    <a:blip r:embed="rId5" cstate="print">
                      <a:extLst>
                        <a:ext uri="{28A0092B-C50C-407E-A947-70E740481C1C}">
                          <a14:useLocalDpi val="0"/>
                        </a:ext>
                      </a:extLst>
                    </a:blip>
                    <a:stretch>
                      <a:fillRect/>
                    </a:stretch>
                  </pic:blipFill>
                  <pic:spPr>
                    <a:xfrm>
                      <a:off x="0" y="0"/>
                      <a:ext cx="2077822" cy="408181"/>
                    </a:xfrm>
                    <a:prstGeom prst="rect">
                      <a:avLst/>
                    </a:prstGeom>
                  </pic:spPr>
                </pic:pic>
              </a:graphicData>
            </a:graphic>
          </wp:inline>
        </w:drawing>
      </w:r>
    </w:p>
    <w:p w14:paraId="16E9F254" w14:textId="77777777" w:rsidR="006300E4" w:rsidRDefault="00000000" w:rsidP="006300E4">
      <w:pPr>
        <w:spacing w:after="40"/>
        <w:jc w:val="center"/>
        <w:rPr>
          <w:color w:val="595959"/>
          <w:sz w:val="16"/>
          <w:szCs w:val="16"/>
        </w:rPr>
      </w:pPr>
      <w:r>
        <w:rPr>
          <w:color w:val="595959"/>
          <w:sz w:val="16"/>
          <w:szCs w:val="16"/>
        </w:rPr>
        <w:t>Orthopädie und Unfallchirurgie, D-Arzt, Allgemein- und Viszeralchirurgie, Zentrum für Hernienchirurgie</w:t>
      </w:r>
      <w:r w:rsidR="006300E4">
        <w:rPr>
          <w:color w:val="595959"/>
          <w:sz w:val="16"/>
          <w:szCs w:val="16"/>
        </w:rPr>
        <w:t xml:space="preserve">, </w:t>
      </w:r>
      <w:r>
        <w:rPr>
          <w:color w:val="595959"/>
          <w:sz w:val="16"/>
          <w:szCs w:val="16"/>
        </w:rPr>
        <w:t>Proktologie</w:t>
      </w:r>
    </w:p>
    <w:p w14:paraId="2303F0DA" w14:textId="41E55B3C" w:rsidR="00540DB2" w:rsidRDefault="00000000" w:rsidP="006300E4">
      <w:pPr>
        <w:spacing w:after="40"/>
        <w:jc w:val="center"/>
      </w:pPr>
      <w:r>
        <w:rPr>
          <w:color w:val="595959"/>
          <w:sz w:val="16"/>
          <w:szCs w:val="16"/>
        </w:rPr>
        <w:t>Varizenchirurgie, Akupunktur, Chirotherapie, Schmerztherapie, ambulante und stationäre Operationen</w:t>
      </w:r>
    </w:p>
    <w:p w14:paraId="784680CB" w14:textId="77777777" w:rsidR="006300E4" w:rsidRDefault="006300E4">
      <w:pPr>
        <w:pStyle w:val="Titel"/>
        <w:spacing w:before="100" w:after="200"/>
        <w:rPr>
          <w:b/>
          <w:bCs/>
          <w:color w:val="1F4E5F"/>
        </w:rPr>
      </w:pPr>
    </w:p>
    <w:p w14:paraId="693BA3CD" w14:textId="280238B7" w:rsidR="00540DB2" w:rsidRDefault="00000000">
      <w:pPr>
        <w:pStyle w:val="Titel"/>
        <w:spacing w:before="100" w:after="200"/>
      </w:pPr>
      <w:r>
        <w:rPr>
          <w:b/>
          <w:bCs/>
          <w:color w:val="1F4E5F"/>
        </w:rPr>
        <w:t>Verhaltensempfehlungen nach einer Bauchwand-Operation</w:t>
      </w:r>
    </w:p>
    <w:p w14:paraId="3007E0B1" w14:textId="77777777" w:rsidR="00540DB2" w:rsidRDefault="00000000">
      <w:pPr>
        <w:spacing w:after="120"/>
      </w:pPr>
      <w:r>
        <w:t>Die folgenden Hinweise sollen Ihnen helfen, die Zeit nach Ihrer Operation gut einzuschätzen und zu wissen, wann Sie sich bei uns melden sollten.</w:t>
      </w:r>
    </w:p>
    <w:p w14:paraId="3943AB63" w14:textId="77777777" w:rsidR="00540DB2" w:rsidRDefault="00540DB2">
      <w:pPr>
        <w:spacing w:after="80"/>
      </w:pPr>
    </w:p>
    <w:p w14:paraId="7412BA92" w14:textId="77777777" w:rsidR="00540DB2" w:rsidRDefault="00000000">
      <w:pPr>
        <w:pStyle w:val="berschrift3"/>
        <w:spacing w:before="160" w:after="80"/>
      </w:pPr>
      <w:r>
        <w:rPr>
          <w:b/>
          <w:bCs/>
          <w:sz w:val="22"/>
          <w:szCs w:val="22"/>
        </w:rPr>
        <w:t>Wie ist es mit Essen und Trinken?</w:t>
      </w:r>
    </w:p>
    <w:p w14:paraId="0D8C696E" w14:textId="77777777" w:rsidR="00540DB2" w:rsidRDefault="00000000">
      <w:pPr>
        <w:spacing w:after="120"/>
      </w:pPr>
      <w:r>
        <w:t>Ab dem 1. Tag nach der Operation können Sie leichtverdauliche Kost essen. Trinken Sie in jedem Fall ausreichend (Wasser und Tee), da nach einer Operation ein erhöhter Stoffwechsel besteht.</w:t>
      </w:r>
    </w:p>
    <w:p w14:paraId="5EB55423" w14:textId="77777777" w:rsidR="00540DB2" w:rsidRDefault="00000000">
      <w:pPr>
        <w:pStyle w:val="berschrift3"/>
        <w:spacing w:before="160" w:after="80"/>
      </w:pPr>
      <w:r>
        <w:rPr>
          <w:b/>
          <w:bCs/>
          <w:sz w:val="22"/>
          <w:szCs w:val="22"/>
        </w:rPr>
        <w:t>Darf ich rauchen?</w:t>
      </w:r>
    </w:p>
    <w:p w14:paraId="6D699EE0" w14:textId="77777777" w:rsidR="00540DB2" w:rsidRDefault="00000000">
      <w:pPr>
        <w:spacing w:after="120"/>
      </w:pPr>
      <w:r>
        <w:t>Grundsätzlich sollten Sie nach einem operativen Eingriff nicht rauchen. Rauchen wirkt sich negativ auf die Wundheilung aus und kann Wundheilungsstörungen begünstigen. Zudem löst es häufig einen Hustenreiz aus, der gerade in der Anfangsphase nach der OP schmerzhaft sein kann.</w:t>
      </w:r>
    </w:p>
    <w:p w14:paraId="0800E141" w14:textId="77777777" w:rsidR="00540DB2" w:rsidRDefault="00000000">
      <w:pPr>
        <w:pStyle w:val="berschrift3"/>
        <w:spacing w:before="160" w:after="80"/>
      </w:pPr>
      <w:r>
        <w:rPr>
          <w:b/>
          <w:bCs/>
          <w:sz w:val="22"/>
          <w:szCs w:val="22"/>
        </w:rPr>
        <w:t>Werde ich Schmerzen haben?</w:t>
      </w:r>
    </w:p>
    <w:p w14:paraId="24CE210E" w14:textId="77777777" w:rsidR="00540DB2" w:rsidRDefault="00000000">
      <w:pPr>
        <w:spacing w:after="120"/>
      </w:pPr>
      <w:r>
        <w:t>Insbesondere bei Bewegung, Lagewechsel, Husten oder Pressen bestehen im Operationsgebiet je nach Schmerzempfindlichkeit leichte bis mittelgradige Schmerzen. Das ist als Wundschmerz ganz normal.</w:t>
      </w:r>
    </w:p>
    <w:tbl>
      <w:tblPr>
        <w:tblW w:w="5000" w:type="pct"/>
        <w:tblBorders>
          <w:top w:val="single" w:sz="8" w:space="0" w:color="9B1C1C"/>
          <w:left w:val="single" w:sz="8" w:space="0" w:color="9B1C1C"/>
          <w:bottom w:val="single" w:sz="8" w:space="0" w:color="9B1C1C"/>
          <w:right w:val="single" w:sz="8" w:space="0" w:color="9B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540DB2" w14:paraId="560ABEF5" w14:textId="77777777">
        <w:tc>
          <w:tcPr>
            <w:tcW w:w="0" w:type="auto"/>
            <w:shd w:val="clear" w:color="auto" w:fill="FBEAEA"/>
            <w:tcMar>
              <w:top w:w="140" w:type="dxa"/>
              <w:left w:w="180" w:type="dxa"/>
              <w:bottom w:w="140" w:type="dxa"/>
              <w:right w:w="180" w:type="dxa"/>
            </w:tcMar>
          </w:tcPr>
          <w:p w14:paraId="12D6D088" w14:textId="77777777" w:rsidR="00540DB2" w:rsidRDefault="00000000">
            <w:r>
              <w:rPr>
                <w:b/>
                <w:bCs/>
                <w:color w:val="9B1C1C"/>
              </w:rPr>
              <w:t xml:space="preserve">Bitte sofort Kontakt aufnehmen: </w:t>
            </w:r>
            <w:r>
              <w:rPr>
                <w:color w:val="9B1C1C"/>
              </w:rPr>
              <w:t>bei stärkeren Schmerzen sollten Sie umgehend mit uns Kontakt aufnehmen bzw. die Sprechstunde aufsuchen.</w:t>
            </w:r>
          </w:p>
        </w:tc>
      </w:tr>
    </w:tbl>
    <w:p w14:paraId="754C96C4" w14:textId="77777777" w:rsidR="00540DB2" w:rsidRDefault="00540DB2">
      <w:pPr>
        <w:spacing w:after="140"/>
      </w:pPr>
    </w:p>
    <w:p w14:paraId="1640CE46" w14:textId="77777777" w:rsidR="00540DB2" w:rsidRDefault="00000000">
      <w:pPr>
        <w:pStyle w:val="berschrift3"/>
        <w:spacing w:before="160" w:after="80"/>
      </w:pPr>
      <w:r>
        <w:rPr>
          <w:b/>
          <w:bCs/>
          <w:sz w:val="22"/>
          <w:szCs w:val="22"/>
        </w:rPr>
        <w:t>Taubheitsgefühl in der OP-Region?</w:t>
      </w:r>
    </w:p>
    <w:p w14:paraId="4F360AA7" w14:textId="76056165" w:rsidR="00540DB2" w:rsidRDefault="00000000">
      <w:pPr>
        <w:spacing w:after="120"/>
      </w:pPr>
      <w:r>
        <w:t xml:space="preserve">Nach der Operation kann im Bereich um die </w:t>
      </w:r>
      <w:r w:rsidR="006300E4">
        <w:t>Wunde</w:t>
      </w:r>
      <w:r>
        <w:t xml:space="preserve"> ein Taubheitsgefühl auftreten. Dies ist aufgrund der möglichen Reizung kleiner Hautnerven im OP-Gebiet kaum zu vermeiden.</w:t>
      </w:r>
    </w:p>
    <w:p w14:paraId="67437D7C" w14:textId="77777777" w:rsidR="00540DB2" w:rsidRDefault="00000000">
      <w:pPr>
        <w:pStyle w:val="berschrift3"/>
        <w:spacing w:before="160" w:after="80"/>
      </w:pPr>
      <w:r>
        <w:rPr>
          <w:b/>
          <w:bCs/>
          <w:sz w:val="22"/>
          <w:szCs w:val="22"/>
        </w:rPr>
        <w:t>Schwellung und Bluterguss</w:t>
      </w:r>
    </w:p>
    <w:p w14:paraId="2331EF91" w14:textId="77777777" w:rsidR="00540DB2" w:rsidRDefault="00000000">
      <w:pPr>
        <w:spacing w:after="120"/>
      </w:pPr>
      <w:r>
        <w:t>Umschriebene Schwellungen und Blutergüsse in den operierten Körperregionen – die sich gelegentlich bis in die Schamregion ausbreiten und beim Mann auch zu Verfärbungen von Hoden oder Penis führen können – sind meist ungefährlich und gehen häufig innerhalb von 1–2 Wochen zurück. Schwellungen oder Verhärtungen im OP-Gebiet können gelegentlich bis zu 6–8 Wochen anhalten und bauen sich langsam von selbst ab.</w:t>
      </w:r>
    </w:p>
    <w:tbl>
      <w:tblPr>
        <w:tblW w:w="5000" w:type="pct"/>
        <w:tblBorders>
          <w:top w:val="single" w:sz="8" w:space="0" w:color="9B1C1C"/>
          <w:left w:val="single" w:sz="8" w:space="0" w:color="9B1C1C"/>
          <w:bottom w:val="single" w:sz="8" w:space="0" w:color="9B1C1C"/>
          <w:right w:val="single" w:sz="8" w:space="0" w:color="9B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6"/>
      </w:tblGrid>
      <w:tr w:rsidR="00540DB2" w14:paraId="64A15A8D" w14:textId="77777777">
        <w:tc>
          <w:tcPr>
            <w:tcW w:w="0" w:type="auto"/>
            <w:shd w:val="clear" w:color="auto" w:fill="FBEAEA"/>
            <w:tcMar>
              <w:top w:w="140" w:type="dxa"/>
              <w:left w:w="180" w:type="dxa"/>
              <w:bottom w:w="140" w:type="dxa"/>
              <w:right w:w="180" w:type="dxa"/>
            </w:tcMar>
          </w:tcPr>
          <w:p w14:paraId="4DC04845" w14:textId="77777777" w:rsidR="00540DB2" w:rsidRDefault="00000000">
            <w:r>
              <w:rPr>
                <w:b/>
                <w:bCs/>
                <w:color w:val="9B1C1C"/>
              </w:rPr>
              <w:t xml:space="preserve">Bitte sofort die Sprechstunde aufsuchen: </w:t>
            </w:r>
            <w:r>
              <w:rPr>
                <w:color w:val="9B1C1C"/>
              </w:rPr>
              <w:t>bei Rötungen, Schwellungen im OP-Gebiet und Fieber.</w:t>
            </w:r>
          </w:p>
        </w:tc>
      </w:tr>
    </w:tbl>
    <w:p w14:paraId="1D1BCB1C" w14:textId="77777777" w:rsidR="00540DB2" w:rsidRDefault="00540DB2">
      <w:pPr>
        <w:spacing w:after="140"/>
      </w:pPr>
    </w:p>
    <w:p w14:paraId="4E4BBCA0" w14:textId="77777777" w:rsidR="00540DB2" w:rsidRDefault="00000000">
      <w:pPr>
        <w:pStyle w:val="berschrift3"/>
        <w:spacing w:before="160" w:after="80"/>
      </w:pPr>
      <w:r>
        <w:rPr>
          <w:b/>
          <w:bCs/>
          <w:sz w:val="22"/>
          <w:szCs w:val="22"/>
        </w:rPr>
        <w:t>Wann darf ich nach der Operation wieder duschen?</w:t>
      </w:r>
    </w:p>
    <w:p w14:paraId="4A901C98" w14:textId="6ED0301F" w:rsidR="00540DB2" w:rsidRDefault="00000000">
      <w:pPr>
        <w:spacing w:after="120"/>
      </w:pPr>
      <w:r>
        <w:t>Bereits 48 Stunden nach der Operation können Sie duschen. Vollbäder oder die Verwendung von Badezusätzen oder Seifen sind erst nach abgeschlossener Wundheilung</w:t>
      </w:r>
      <w:r w:rsidR="006300E4">
        <w:t xml:space="preserve"> (in der Regel 14 Tagen)</w:t>
      </w:r>
      <w:r>
        <w:t xml:space="preserve"> zu empfehlen.</w:t>
      </w:r>
    </w:p>
    <w:p w14:paraId="15A5BE3A" w14:textId="77777777" w:rsidR="00540DB2" w:rsidRDefault="00000000">
      <w:pPr>
        <w:pStyle w:val="berschrift3"/>
        <w:spacing w:before="160" w:after="80"/>
      </w:pPr>
      <w:r>
        <w:rPr>
          <w:b/>
          <w:bCs/>
          <w:sz w:val="22"/>
          <w:szCs w:val="22"/>
        </w:rPr>
        <w:t>Wann muss ich zur ärztlichen Kontrolle in die Praxis?</w:t>
      </w:r>
    </w:p>
    <w:p w14:paraId="127F63BB" w14:textId="77777777" w:rsidR="00540DB2" w:rsidRDefault="00000000">
      <w:pPr>
        <w:spacing w:after="120"/>
      </w:pPr>
      <w:r>
        <w:t>In der Regel empfehlen wir – insbesondere nach ambulanter Operation – eine erste ärztliche Kontrolle am ersten oder zweiten postoperativen Tag in unserer Praxis; dabei erfolgt der erste Pflasterwechsel. Bei stationären Patienten erfolgt diese Kontrolle im Rahmen der Visite im Krankenhaus.</w:t>
      </w:r>
    </w:p>
    <w:p w14:paraId="3C21BA4D" w14:textId="77777777" w:rsidR="00540DB2" w:rsidRDefault="00000000">
      <w:pPr>
        <w:spacing w:after="120"/>
      </w:pPr>
      <w:r>
        <w:lastRenderedPageBreak/>
        <w:t>Weitere Kontrollen finden im Rahmen unserer Qualitätssicherung statt:</w:t>
      </w:r>
    </w:p>
    <w:p w14:paraId="74F4ECBE" w14:textId="77777777" w:rsidR="00540DB2" w:rsidRDefault="00000000">
      <w:pPr>
        <w:pStyle w:val="Listenabsatz"/>
        <w:numPr>
          <w:ilvl w:val="0"/>
          <w:numId w:val="2"/>
        </w:numPr>
        <w:spacing w:after="70"/>
      </w:pPr>
      <w:r>
        <w:t>nach 3 Monaten</w:t>
      </w:r>
    </w:p>
    <w:p w14:paraId="732B2DE1" w14:textId="77777777" w:rsidR="00540DB2" w:rsidRDefault="00000000">
      <w:pPr>
        <w:pStyle w:val="Listenabsatz"/>
        <w:numPr>
          <w:ilvl w:val="0"/>
          <w:numId w:val="2"/>
        </w:numPr>
        <w:spacing w:after="70"/>
      </w:pPr>
      <w:r>
        <w:t>nach 1 Jahr, 5 Jahren und 10 Jahren</w:t>
      </w:r>
    </w:p>
    <w:p w14:paraId="5A8C107D" w14:textId="77777777" w:rsidR="00540DB2" w:rsidRDefault="00000000">
      <w:pPr>
        <w:pStyle w:val="berschrift3"/>
        <w:spacing w:before="160" w:after="80"/>
      </w:pPr>
      <w:r>
        <w:rPr>
          <w:b/>
          <w:bCs/>
          <w:sz w:val="22"/>
          <w:szCs w:val="22"/>
        </w:rPr>
        <w:t>Wann kann ich mich wieder körperlich belasten?</w:t>
      </w:r>
    </w:p>
    <w:p w14:paraId="4A618013" w14:textId="77777777" w:rsidR="00540DB2" w:rsidRDefault="00000000">
      <w:pPr>
        <w:spacing w:after="120"/>
      </w:pPr>
      <w:r>
        <w:t>Beim Heben und Tragen von Lasten bestehen aufgrund unterschiedlicher Bruchgrößen und Bruchlagen sowie der verschiedenen OP-Techniken individuelle Unterschiede, über die wir Sie persönlich nach Ihrer Operation informieren. In der Regel gilt bei uns:</w:t>
      </w:r>
    </w:p>
    <w:p w14:paraId="197B2BA0" w14:textId="77777777" w:rsidR="00540DB2" w:rsidRDefault="00000000">
      <w:pPr>
        <w:pStyle w:val="Listenabsatz"/>
        <w:numPr>
          <w:ilvl w:val="0"/>
          <w:numId w:val="2"/>
        </w:numPr>
        <w:spacing w:after="70"/>
      </w:pPr>
      <w:r>
        <w:t>in den ersten 2 Wochen: leichte Belastungen – Heben und Tragen bis max. 5 kg</w:t>
      </w:r>
    </w:p>
    <w:p w14:paraId="254560FC" w14:textId="0A2DAB7F" w:rsidR="00540DB2" w:rsidRDefault="00000000" w:rsidP="006300E4">
      <w:pPr>
        <w:pStyle w:val="Listenabsatz"/>
        <w:numPr>
          <w:ilvl w:val="0"/>
          <w:numId w:val="2"/>
        </w:numPr>
        <w:spacing w:after="70"/>
      </w:pPr>
      <w:r>
        <w:t>nach 2 Wochen: Belastungssteigerung</w:t>
      </w:r>
      <w:r w:rsidR="006300E4">
        <w:t xml:space="preserve"> bis maximal 10kg</w:t>
      </w:r>
      <w:r w:rsidR="006300E4">
        <w:t/>
      </w:r>
    </w:p>
    <w:p w14:paraId="71A65E70" w14:textId="36E7E335" w:rsidR="00540DB2" w:rsidRDefault="00000000" w:rsidP="006300E4">
      <w:pPr>
        <w:pStyle w:val="Listenabsatz"/>
        <w:numPr>
          <w:ilvl w:val="0"/>
          <w:numId w:val="2"/>
        </w:numPr>
        <w:spacing w:after="70"/>
      </w:pPr>
      <w:r>
        <w:t>nach ca. 4 Wochen: zunehmend volle Belastbarkeit ohne Einschränkung</w:t>
      </w:r>
      <w:r w:rsidR="006300E4">
        <w:t xml:space="preserve">, Laufen, Schwimmen (erst bei vollständig verheilter Wunde), </w:t>
      </w:r>
      <w:r w:rsidR="006300E4">
        <w:t>Radfahren, Fitness mit leichter Gewichtsbelastung ist erlaubt</w:t>
      </w:r>
    </w:p>
    <w:p w14:paraId="1681E60D" w14:textId="77777777" w:rsidR="00540DB2" w:rsidRDefault="00540DB2">
      <w:pPr>
        <w:spacing w:after="300"/>
      </w:pPr>
    </w:p>
    <w:p w14:paraId="106341D7" w14:textId="77777777" w:rsidR="00540DB2" w:rsidRDefault="00540DB2">
      <w:pPr>
        <w:pBdr>
          <w:top w:val="single" w:sz="4" w:space="6" w:color="BFBFBF"/>
        </w:pBdr>
        <w:spacing w:after="100"/>
      </w:pPr>
    </w:p>
    <w:p w14:paraId="4AE182A9" w14:textId="77777777" w:rsidR="00540DB2" w:rsidRDefault="00000000">
      <w:pPr>
        <w:spacing w:after="120"/>
      </w:pPr>
      <w:r>
        <w:rPr>
          <w:i/>
          <w:iCs/>
          <w:color w:val="595959"/>
          <w:sz w:val="20"/>
          <w:szCs w:val="20"/>
        </w:rPr>
        <w:t>Bei weiteren Fragen oder Unklarheiten stehen wir Ihnen jederzeit zur Verfügung.</w:t>
      </w:r>
    </w:p>
    <w:p w14:paraId="485E7804" w14:textId="77777777" w:rsidR="00540DB2" w:rsidRDefault="00000000">
      <w:pPr>
        <w:spacing w:after="20"/>
      </w:pPr>
      <w:r>
        <w:rPr>
          <w:b/>
          <w:bCs/>
        </w:rPr>
        <w:t>Dr. med. Tarek Osman</w:t>
      </w:r>
    </w:p>
    <w:p w14:paraId="6B2F1D7F" w14:textId="77777777" w:rsidR="00540DB2" w:rsidRDefault="00000000">
      <w:pPr>
        <w:spacing w:after="120"/>
      </w:pPr>
      <w:r>
        <w:rPr>
          <w:color w:val="595959"/>
          <w:sz w:val="20"/>
          <w:szCs w:val="20"/>
        </w:rPr>
        <w:t>Facharzt für Allgemein- und Viszeralchirurgie</w:t>
      </w:r>
    </w:p>
    <w:p w14:paraId="098B8E7F" w14:textId="77777777" w:rsidR="00540DB2" w:rsidRDefault="00000000">
      <w:pPr>
        <w:spacing w:after="120"/>
      </w:pPr>
      <w:r>
        <w:rPr>
          <w:color w:val="595959"/>
          <w:sz w:val="20"/>
          <w:szCs w:val="20"/>
        </w:rPr>
        <w:t>Leiter des Hernienzentrums</w:t>
      </w:r>
    </w:p>
    <w:sectPr w:rsidR="00540DB2">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1C3F"/>
    <w:multiLevelType w:val="hybridMultilevel"/>
    <w:tmpl w:val="E5FA31DC"/>
    <w:lvl w:ilvl="0" w:tplc="334EBA68">
      <w:start w:val="1"/>
      <w:numFmt w:val="bullet"/>
      <w:lvlText w:val="●"/>
      <w:lvlJc w:val="left"/>
      <w:pPr>
        <w:ind w:left="720" w:hanging="360"/>
      </w:pPr>
    </w:lvl>
    <w:lvl w:ilvl="1" w:tplc="AF48EB8A">
      <w:start w:val="1"/>
      <w:numFmt w:val="bullet"/>
      <w:lvlText w:val="○"/>
      <w:lvlJc w:val="left"/>
      <w:pPr>
        <w:ind w:left="1440" w:hanging="360"/>
      </w:pPr>
    </w:lvl>
    <w:lvl w:ilvl="2" w:tplc="B4E6594A">
      <w:start w:val="1"/>
      <w:numFmt w:val="bullet"/>
      <w:lvlText w:val="■"/>
      <w:lvlJc w:val="left"/>
      <w:pPr>
        <w:ind w:left="2160" w:hanging="360"/>
      </w:pPr>
    </w:lvl>
    <w:lvl w:ilvl="3" w:tplc="01902C26">
      <w:start w:val="1"/>
      <w:numFmt w:val="bullet"/>
      <w:lvlText w:val="●"/>
      <w:lvlJc w:val="left"/>
      <w:pPr>
        <w:ind w:left="2880" w:hanging="360"/>
      </w:pPr>
    </w:lvl>
    <w:lvl w:ilvl="4" w:tplc="0E74E422">
      <w:start w:val="1"/>
      <w:numFmt w:val="bullet"/>
      <w:lvlText w:val="○"/>
      <w:lvlJc w:val="left"/>
      <w:pPr>
        <w:ind w:left="3600" w:hanging="360"/>
      </w:pPr>
    </w:lvl>
    <w:lvl w:ilvl="5" w:tplc="862CF068">
      <w:start w:val="1"/>
      <w:numFmt w:val="bullet"/>
      <w:lvlText w:val="■"/>
      <w:lvlJc w:val="left"/>
      <w:pPr>
        <w:ind w:left="4320" w:hanging="360"/>
      </w:pPr>
    </w:lvl>
    <w:lvl w:ilvl="6" w:tplc="883CDDF8">
      <w:start w:val="1"/>
      <w:numFmt w:val="bullet"/>
      <w:lvlText w:val="●"/>
      <w:lvlJc w:val="left"/>
      <w:pPr>
        <w:ind w:left="5040" w:hanging="360"/>
      </w:pPr>
    </w:lvl>
    <w:lvl w:ilvl="7" w:tplc="F59296E4">
      <w:start w:val="1"/>
      <w:numFmt w:val="bullet"/>
      <w:lvlText w:val="●"/>
      <w:lvlJc w:val="left"/>
      <w:pPr>
        <w:ind w:left="5760" w:hanging="360"/>
      </w:pPr>
    </w:lvl>
    <w:lvl w:ilvl="8" w:tplc="565EA744">
      <w:start w:val="1"/>
      <w:numFmt w:val="bullet"/>
      <w:lvlText w:val="●"/>
      <w:lvlJc w:val="left"/>
      <w:pPr>
        <w:ind w:left="6480" w:hanging="360"/>
      </w:pPr>
    </w:lvl>
  </w:abstractNum>
  <w:abstractNum w:abstractNumId="1" w15:restartNumberingAfterBreak="0">
    <w:nsid w:val="1BDE532D"/>
    <w:multiLevelType w:val="hybridMultilevel"/>
    <w:tmpl w:val="738EB2EC"/>
    <w:lvl w:ilvl="0" w:tplc="A6627DE4">
      <w:start w:val="1"/>
      <w:numFmt w:val="decimal"/>
      <w:lvlText w:val="%1."/>
      <w:lvlJc w:val="left"/>
      <w:pPr>
        <w:ind w:left="420" w:hanging="300"/>
      </w:pPr>
    </w:lvl>
    <w:lvl w:ilvl="1" w:tplc="07465F9E">
      <w:numFmt w:val="decimal"/>
      <w:lvlText w:val=""/>
      <w:lvlJc w:val="left"/>
    </w:lvl>
    <w:lvl w:ilvl="2" w:tplc="C4BA8EF0">
      <w:numFmt w:val="decimal"/>
      <w:lvlText w:val=""/>
      <w:lvlJc w:val="left"/>
    </w:lvl>
    <w:lvl w:ilvl="3" w:tplc="32881C7C">
      <w:numFmt w:val="decimal"/>
      <w:lvlText w:val=""/>
      <w:lvlJc w:val="left"/>
    </w:lvl>
    <w:lvl w:ilvl="4" w:tplc="1D0A8EE6">
      <w:numFmt w:val="decimal"/>
      <w:lvlText w:val=""/>
      <w:lvlJc w:val="left"/>
    </w:lvl>
    <w:lvl w:ilvl="5" w:tplc="856AB226">
      <w:numFmt w:val="decimal"/>
      <w:lvlText w:val=""/>
      <w:lvlJc w:val="left"/>
    </w:lvl>
    <w:lvl w:ilvl="6" w:tplc="EA626E68">
      <w:numFmt w:val="decimal"/>
      <w:lvlText w:val=""/>
      <w:lvlJc w:val="left"/>
    </w:lvl>
    <w:lvl w:ilvl="7" w:tplc="266EA5A6">
      <w:numFmt w:val="decimal"/>
      <w:lvlText w:val=""/>
      <w:lvlJc w:val="left"/>
    </w:lvl>
    <w:lvl w:ilvl="8" w:tplc="77383232">
      <w:numFmt w:val="decimal"/>
      <w:lvlText w:val=""/>
      <w:lvlJc w:val="left"/>
    </w:lvl>
  </w:abstractNum>
  <w:abstractNum w:abstractNumId="2" w15:restartNumberingAfterBreak="0">
    <w:nsid w:val="5BB90A3E"/>
    <w:multiLevelType w:val="hybridMultilevel"/>
    <w:tmpl w:val="3154C2B4"/>
    <w:lvl w:ilvl="0" w:tplc="2C9A6EA2">
      <w:start w:val="1"/>
      <w:numFmt w:val="bullet"/>
      <w:lvlText w:val="☐"/>
      <w:lvlJc w:val="left"/>
      <w:pPr>
        <w:ind w:left="420" w:hanging="300"/>
      </w:pPr>
    </w:lvl>
    <w:lvl w:ilvl="1" w:tplc="C33A022C">
      <w:numFmt w:val="decimal"/>
      <w:lvlText w:val=""/>
      <w:lvlJc w:val="left"/>
    </w:lvl>
    <w:lvl w:ilvl="2" w:tplc="99D2B86C">
      <w:numFmt w:val="decimal"/>
      <w:lvlText w:val=""/>
      <w:lvlJc w:val="left"/>
    </w:lvl>
    <w:lvl w:ilvl="3" w:tplc="AE2AF762">
      <w:numFmt w:val="decimal"/>
      <w:lvlText w:val=""/>
      <w:lvlJc w:val="left"/>
    </w:lvl>
    <w:lvl w:ilvl="4" w:tplc="11B83276">
      <w:numFmt w:val="decimal"/>
      <w:lvlText w:val=""/>
      <w:lvlJc w:val="left"/>
    </w:lvl>
    <w:lvl w:ilvl="5" w:tplc="5258594C">
      <w:numFmt w:val="decimal"/>
      <w:lvlText w:val=""/>
      <w:lvlJc w:val="left"/>
    </w:lvl>
    <w:lvl w:ilvl="6" w:tplc="547EE846">
      <w:numFmt w:val="decimal"/>
      <w:lvlText w:val=""/>
      <w:lvlJc w:val="left"/>
    </w:lvl>
    <w:lvl w:ilvl="7" w:tplc="486A83BE">
      <w:numFmt w:val="decimal"/>
      <w:lvlText w:val=""/>
      <w:lvlJc w:val="left"/>
    </w:lvl>
    <w:lvl w:ilvl="8" w:tplc="7C7636FE">
      <w:numFmt w:val="decimal"/>
      <w:lvlText w:val=""/>
      <w:lvlJc w:val="left"/>
    </w:lvl>
  </w:abstractNum>
  <w:abstractNum w:abstractNumId="3" w15:restartNumberingAfterBreak="0">
    <w:nsid w:val="787F76EB"/>
    <w:multiLevelType w:val="hybridMultilevel"/>
    <w:tmpl w:val="F34A1A36"/>
    <w:lvl w:ilvl="0" w:tplc="D79AEB50">
      <w:start w:val="1"/>
      <w:numFmt w:val="bullet"/>
      <w:lvlText w:val="•"/>
      <w:lvlJc w:val="left"/>
      <w:pPr>
        <w:ind w:left="420" w:hanging="240"/>
      </w:pPr>
    </w:lvl>
    <w:lvl w:ilvl="1" w:tplc="167ABA4A">
      <w:numFmt w:val="decimal"/>
      <w:lvlText w:val=""/>
      <w:lvlJc w:val="left"/>
    </w:lvl>
    <w:lvl w:ilvl="2" w:tplc="19A65C36">
      <w:numFmt w:val="decimal"/>
      <w:lvlText w:val=""/>
      <w:lvlJc w:val="left"/>
    </w:lvl>
    <w:lvl w:ilvl="3" w:tplc="1142752C">
      <w:numFmt w:val="decimal"/>
      <w:lvlText w:val=""/>
      <w:lvlJc w:val="left"/>
    </w:lvl>
    <w:lvl w:ilvl="4" w:tplc="82BE3BDA">
      <w:numFmt w:val="decimal"/>
      <w:lvlText w:val=""/>
      <w:lvlJc w:val="left"/>
    </w:lvl>
    <w:lvl w:ilvl="5" w:tplc="A45CD920">
      <w:numFmt w:val="decimal"/>
      <w:lvlText w:val=""/>
      <w:lvlJc w:val="left"/>
    </w:lvl>
    <w:lvl w:ilvl="6" w:tplc="5A18E1E4">
      <w:numFmt w:val="decimal"/>
      <w:lvlText w:val=""/>
      <w:lvlJc w:val="left"/>
    </w:lvl>
    <w:lvl w:ilvl="7" w:tplc="665066F6">
      <w:numFmt w:val="decimal"/>
      <w:lvlText w:val=""/>
      <w:lvlJc w:val="left"/>
    </w:lvl>
    <w:lvl w:ilvl="8" w:tplc="715EA222">
      <w:numFmt w:val="decimal"/>
      <w:lvlText w:val=""/>
      <w:lvlJc w:val="left"/>
    </w:lvl>
  </w:abstractNum>
  <w:num w:numId="1" w16cid:durableId="1089351654">
    <w:abstractNumId w:val="0"/>
    <w:lvlOverride w:ilvl="0">
      <w:startOverride w:val="1"/>
    </w:lvlOverride>
  </w:num>
  <w:num w:numId="2" w16cid:durableId="186444209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DB2"/>
    <w:rsid w:val="00364E7C"/>
    <w:rsid w:val="00540DB2"/>
    <w:rsid w:val="006300E4"/>
    <w:rsid w:val="00E81C4D"/>
    <w:rsid w:val="00F33BF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FA6C7"/>
  <w15:docId w15:val="{C3450630-80AA-46FF-A4BD-CD792122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3026</Characters>
  <Application>Microsoft Office Word</Application>
  <DocSecurity>0</DocSecurity>
  <Lines>56</Lines>
  <Paragraphs>36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Tarek Osman</cp:lastModifiedBy>
  <cp:revision>3</cp:revision>
  <dcterms:created xsi:type="dcterms:W3CDTF">2026-08-22T11:20:00Z</dcterms:created>
  <dcterms:modified xsi:type="dcterms:W3CDTF">2026-08-23T12:23:00Z</dcterms:modified>
</cp:coreProperties>
</file>