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DD0F" w14:textId="4E73D5D8" w:rsidR="00277A0A" w:rsidRDefault="00277A0A" w:rsidP="00277A0A">
      <w:pPr>
        <w:pStyle w:val="NormalWeb"/>
        <w:jc w:val="center"/>
        <w:rPr>
          <w:rFonts w:asciiTheme="majorHAnsi" w:hAnsiTheme="majorHAnsi"/>
          <w:b/>
          <w:bCs/>
          <w:color w:val="000000"/>
          <w:u w:val="single"/>
        </w:rPr>
      </w:pPr>
      <w:r>
        <w:rPr>
          <w:rFonts w:asciiTheme="majorHAnsi" w:hAnsiTheme="majorHAnsi"/>
          <w:b/>
          <w:bCs/>
          <w:color w:val="000000"/>
          <w:u w:val="single"/>
        </w:rPr>
        <w:t>Présentation Sanofi :</w:t>
      </w:r>
    </w:p>
    <w:p w14:paraId="7277722F" w14:textId="2EF8C373" w:rsidR="00277A0A" w:rsidRPr="00277A0A" w:rsidRDefault="00277A0A" w:rsidP="003905A5">
      <w:pPr>
        <w:pStyle w:val="NormalWeb"/>
        <w:rPr>
          <w:rFonts w:asciiTheme="majorHAnsi" w:hAnsiTheme="majorHAnsi"/>
          <w:color w:val="000000"/>
          <w:u w:val="single"/>
        </w:rPr>
      </w:pPr>
      <w:r>
        <w:rPr>
          <w:rFonts w:asciiTheme="majorHAnsi" w:hAnsiTheme="majorHAnsi"/>
          <w:color w:val="000000"/>
          <w:u w:val="single"/>
        </w:rPr>
        <w:t>Introduction :</w:t>
      </w:r>
    </w:p>
    <w:p w14:paraId="61C060E6" w14:textId="4F7C6690"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Sanofi est un grand groupe pharmaceutique français, aujourd’hui l’un des leaders mondiaux dans le domaine de la santé. L’entreprise est spécialisée dans la recherche, la fabrication et la commercialisation de médicaments et de vaccins.</w:t>
      </w:r>
    </w:p>
    <w:p w14:paraId="2C524241"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L’histoire de Sanofi commence en 1973, lorsque la société est créée comme filiale du groupe pétrolier Elf Aquitaine. À l’époque, l’objectif est de développer une activité dans le secteur pharmaceutique, considéré comme stratégique et en forte croissance.</w:t>
      </w:r>
    </w:p>
    <w:p w14:paraId="6AC48443"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Dans les années 1990, Sanofi commence à grandir rapidement grâce à des fusions et acquisitions. En 1999, elle fusionne avec Synthélabo et devient Sanofi-Synthélabo. Cette fusion permet au groupe de se renforcer dans la recherche et de se positionner parmi les grandes entreprises pharmaceutiques européennes.</w:t>
      </w:r>
    </w:p>
    <w:p w14:paraId="1012F794"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Le tournant majeur arrive en 2004, lorsque Sanofi-Synthélabo fusionne avec le groupe franco-allemand Aventis. Cette opération donne naissance à Sanofi-Aventis, un géant mondial du médicament. Grâce à cette fusion, l’entreprise devient l’une des plus importantes du secteur, avec une présence dans de nombreux pays et un portefeuille de médicaments très large.</w:t>
      </w:r>
    </w:p>
    <w:p w14:paraId="42B09832"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En 2011, le groupe simplifie son nom et devient simplement Sanofi. Depuis, l’entreprise s’est recentrée sur plusieurs domaines clés, notamment :</w:t>
      </w:r>
    </w:p>
    <w:p w14:paraId="0BCB8F2F" w14:textId="77777777" w:rsidR="003905A5" w:rsidRPr="00277A0A" w:rsidRDefault="003905A5" w:rsidP="003905A5">
      <w:pPr>
        <w:pStyle w:val="NormalWeb"/>
        <w:numPr>
          <w:ilvl w:val="0"/>
          <w:numId w:val="1"/>
        </w:numPr>
        <w:rPr>
          <w:rFonts w:asciiTheme="majorHAnsi" w:hAnsiTheme="majorHAnsi"/>
          <w:color w:val="000000"/>
        </w:rPr>
      </w:pPr>
      <w:proofErr w:type="gramStart"/>
      <w:r w:rsidRPr="00277A0A">
        <w:rPr>
          <w:rFonts w:asciiTheme="majorHAnsi" w:hAnsiTheme="majorHAnsi"/>
          <w:color w:val="000000"/>
        </w:rPr>
        <w:t>les</w:t>
      </w:r>
      <w:proofErr w:type="gramEnd"/>
      <w:r w:rsidRPr="00277A0A">
        <w:rPr>
          <w:rFonts w:asciiTheme="majorHAnsi" w:hAnsiTheme="majorHAnsi"/>
          <w:color w:val="000000"/>
        </w:rPr>
        <w:t xml:space="preserve"> vaccins, avec sa filiale Sanofi Pasteur,</w:t>
      </w:r>
    </w:p>
    <w:p w14:paraId="1B40A976" w14:textId="77777777" w:rsidR="003905A5" w:rsidRPr="00277A0A" w:rsidRDefault="003905A5" w:rsidP="003905A5">
      <w:pPr>
        <w:pStyle w:val="NormalWeb"/>
        <w:numPr>
          <w:ilvl w:val="0"/>
          <w:numId w:val="1"/>
        </w:numPr>
        <w:rPr>
          <w:rFonts w:asciiTheme="majorHAnsi" w:hAnsiTheme="majorHAnsi"/>
          <w:color w:val="000000"/>
        </w:rPr>
      </w:pPr>
      <w:proofErr w:type="gramStart"/>
      <w:r w:rsidRPr="00277A0A">
        <w:rPr>
          <w:rFonts w:asciiTheme="majorHAnsi" w:hAnsiTheme="majorHAnsi"/>
          <w:color w:val="000000"/>
        </w:rPr>
        <w:t>les</w:t>
      </w:r>
      <w:proofErr w:type="gramEnd"/>
      <w:r w:rsidRPr="00277A0A">
        <w:rPr>
          <w:rFonts w:asciiTheme="majorHAnsi" w:hAnsiTheme="majorHAnsi"/>
          <w:color w:val="000000"/>
        </w:rPr>
        <w:t xml:space="preserve"> maladies rares,</w:t>
      </w:r>
    </w:p>
    <w:p w14:paraId="1AB1CDDD" w14:textId="77777777" w:rsidR="003905A5" w:rsidRPr="00277A0A" w:rsidRDefault="003905A5" w:rsidP="003905A5">
      <w:pPr>
        <w:pStyle w:val="NormalWeb"/>
        <w:numPr>
          <w:ilvl w:val="0"/>
          <w:numId w:val="1"/>
        </w:numPr>
        <w:rPr>
          <w:rFonts w:asciiTheme="majorHAnsi" w:hAnsiTheme="majorHAnsi"/>
          <w:color w:val="000000"/>
        </w:rPr>
      </w:pPr>
      <w:proofErr w:type="gramStart"/>
      <w:r w:rsidRPr="00277A0A">
        <w:rPr>
          <w:rFonts w:asciiTheme="majorHAnsi" w:hAnsiTheme="majorHAnsi"/>
          <w:color w:val="000000"/>
        </w:rPr>
        <w:t>l’immunologie</w:t>
      </w:r>
      <w:proofErr w:type="gramEnd"/>
      <w:r w:rsidRPr="00277A0A">
        <w:rPr>
          <w:rFonts w:asciiTheme="majorHAnsi" w:hAnsiTheme="majorHAnsi"/>
          <w:color w:val="000000"/>
        </w:rPr>
        <w:t>,</w:t>
      </w:r>
    </w:p>
    <w:p w14:paraId="32336164" w14:textId="77777777" w:rsidR="003905A5" w:rsidRPr="00277A0A" w:rsidRDefault="003905A5" w:rsidP="003905A5">
      <w:pPr>
        <w:pStyle w:val="NormalWeb"/>
        <w:numPr>
          <w:ilvl w:val="0"/>
          <w:numId w:val="1"/>
        </w:numPr>
        <w:rPr>
          <w:rFonts w:asciiTheme="majorHAnsi" w:hAnsiTheme="majorHAnsi"/>
          <w:color w:val="000000"/>
        </w:rPr>
      </w:pPr>
      <w:proofErr w:type="gramStart"/>
      <w:r w:rsidRPr="00277A0A">
        <w:rPr>
          <w:rFonts w:asciiTheme="majorHAnsi" w:hAnsiTheme="majorHAnsi"/>
          <w:color w:val="000000"/>
        </w:rPr>
        <w:t>le</w:t>
      </w:r>
      <w:proofErr w:type="gramEnd"/>
      <w:r w:rsidRPr="00277A0A">
        <w:rPr>
          <w:rFonts w:asciiTheme="majorHAnsi" w:hAnsiTheme="majorHAnsi"/>
          <w:color w:val="000000"/>
        </w:rPr>
        <w:t xml:space="preserve"> diabète,</w:t>
      </w:r>
    </w:p>
    <w:p w14:paraId="782C0574" w14:textId="77777777" w:rsidR="003905A5" w:rsidRPr="00277A0A" w:rsidRDefault="003905A5" w:rsidP="003905A5">
      <w:pPr>
        <w:pStyle w:val="NormalWeb"/>
        <w:numPr>
          <w:ilvl w:val="0"/>
          <w:numId w:val="1"/>
        </w:numPr>
        <w:rPr>
          <w:rFonts w:asciiTheme="majorHAnsi" w:hAnsiTheme="majorHAnsi"/>
          <w:color w:val="000000"/>
        </w:rPr>
      </w:pPr>
      <w:proofErr w:type="gramStart"/>
      <w:r w:rsidRPr="00277A0A">
        <w:rPr>
          <w:rFonts w:asciiTheme="majorHAnsi" w:hAnsiTheme="majorHAnsi"/>
          <w:color w:val="000000"/>
        </w:rPr>
        <w:t>et</w:t>
      </w:r>
      <w:proofErr w:type="gramEnd"/>
      <w:r w:rsidRPr="00277A0A">
        <w:rPr>
          <w:rFonts w:asciiTheme="majorHAnsi" w:hAnsiTheme="majorHAnsi"/>
          <w:color w:val="000000"/>
        </w:rPr>
        <w:t xml:space="preserve"> certains traitements contre le cancer.</w:t>
      </w:r>
    </w:p>
    <w:p w14:paraId="4BDA21F6"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Sanofi investit énormément dans la recherche et le développement. Dans l’industrie pharmaceutique, les entreprises doivent constamment innover, car les médicaments sont protégés par des brevets pendant un temps limité. Une fois le brevet expiré, d’autres entreprises peuvent produire des versions génériques, ce qui fait baisser les revenus. C’est pour cela que les groupes pharmaceutiques doivent régulièrement déposer de nouveaux brevets et lancer de nouveaux traitements.</w:t>
      </w:r>
    </w:p>
    <w:p w14:paraId="0A55A6B9"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Aujourd’hui, Sanofi est présent dans plus de 100 pays et emploie des dizaines de milliers de personnes dans le monde. C’est une entreprise stratégique pour la France, car elle contribue à la recherche médicale, à l’emploi et à l’économie.</w:t>
      </w:r>
    </w:p>
    <w:p w14:paraId="2C32B72B"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Dans notre étude, nous avons justement analysé le lien entre trois éléments :</w:t>
      </w:r>
    </w:p>
    <w:p w14:paraId="30A9C423" w14:textId="77777777" w:rsidR="003905A5" w:rsidRPr="00277A0A" w:rsidRDefault="003905A5" w:rsidP="003905A5">
      <w:pPr>
        <w:pStyle w:val="NormalWeb"/>
        <w:numPr>
          <w:ilvl w:val="0"/>
          <w:numId w:val="2"/>
        </w:numPr>
        <w:rPr>
          <w:rFonts w:asciiTheme="majorHAnsi" w:hAnsiTheme="majorHAnsi"/>
          <w:color w:val="000000"/>
        </w:rPr>
      </w:pPr>
      <w:proofErr w:type="gramStart"/>
      <w:r w:rsidRPr="00277A0A">
        <w:rPr>
          <w:rFonts w:asciiTheme="majorHAnsi" w:hAnsiTheme="majorHAnsi"/>
          <w:color w:val="000000"/>
        </w:rPr>
        <w:t>le</w:t>
      </w:r>
      <w:proofErr w:type="gramEnd"/>
      <w:r w:rsidRPr="00277A0A">
        <w:rPr>
          <w:rFonts w:asciiTheme="majorHAnsi" w:hAnsiTheme="majorHAnsi"/>
          <w:color w:val="000000"/>
        </w:rPr>
        <w:t xml:space="preserve"> cours de l’action,</w:t>
      </w:r>
    </w:p>
    <w:p w14:paraId="7BD6528B" w14:textId="77777777" w:rsidR="003905A5" w:rsidRPr="00277A0A" w:rsidRDefault="003905A5" w:rsidP="003905A5">
      <w:pPr>
        <w:pStyle w:val="NormalWeb"/>
        <w:numPr>
          <w:ilvl w:val="0"/>
          <w:numId w:val="2"/>
        </w:numPr>
        <w:rPr>
          <w:rFonts w:asciiTheme="majorHAnsi" w:hAnsiTheme="majorHAnsi"/>
          <w:color w:val="000000"/>
        </w:rPr>
      </w:pPr>
      <w:proofErr w:type="gramStart"/>
      <w:r w:rsidRPr="00277A0A">
        <w:rPr>
          <w:rFonts w:asciiTheme="majorHAnsi" w:hAnsiTheme="majorHAnsi"/>
          <w:color w:val="000000"/>
        </w:rPr>
        <w:t>le</w:t>
      </w:r>
      <w:proofErr w:type="gramEnd"/>
      <w:r w:rsidRPr="00277A0A">
        <w:rPr>
          <w:rFonts w:asciiTheme="majorHAnsi" w:hAnsiTheme="majorHAnsi"/>
          <w:color w:val="000000"/>
        </w:rPr>
        <w:t xml:space="preserve"> nombre de brevets déposés,</w:t>
      </w:r>
    </w:p>
    <w:p w14:paraId="6829AAE9" w14:textId="77777777" w:rsidR="003905A5" w:rsidRPr="00277A0A" w:rsidRDefault="003905A5" w:rsidP="003905A5">
      <w:pPr>
        <w:pStyle w:val="NormalWeb"/>
        <w:numPr>
          <w:ilvl w:val="0"/>
          <w:numId w:val="2"/>
        </w:numPr>
        <w:rPr>
          <w:rFonts w:asciiTheme="majorHAnsi" w:hAnsiTheme="majorHAnsi"/>
          <w:color w:val="000000"/>
        </w:rPr>
      </w:pPr>
      <w:proofErr w:type="gramStart"/>
      <w:r w:rsidRPr="00277A0A">
        <w:rPr>
          <w:rFonts w:asciiTheme="majorHAnsi" w:hAnsiTheme="majorHAnsi"/>
          <w:color w:val="000000"/>
        </w:rPr>
        <w:t>et</w:t>
      </w:r>
      <w:proofErr w:type="gramEnd"/>
      <w:r w:rsidRPr="00277A0A">
        <w:rPr>
          <w:rFonts w:asciiTheme="majorHAnsi" w:hAnsiTheme="majorHAnsi"/>
          <w:color w:val="000000"/>
        </w:rPr>
        <w:t xml:space="preserve"> les résultats des essais cliniques.</w:t>
      </w:r>
    </w:p>
    <w:p w14:paraId="218E959F"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lastRenderedPageBreak/>
        <w:t>Cela permet de comprendre comment l’innovation scientifique peut avoir un impact direct sur la performance financière d’une entreprise pharmaceutique comme Sanofi.</w:t>
      </w:r>
    </w:p>
    <w:p w14:paraId="715CA4C9" w14:textId="77777777" w:rsidR="00277A0A" w:rsidRPr="00277A0A" w:rsidRDefault="00277A0A" w:rsidP="003905A5">
      <w:pPr>
        <w:pStyle w:val="NormalWeb"/>
        <w:rPr>
          <w:rFonts w:asciiTheme="majorHAnsi" w:hAnsiTheme="majorHAnsi"/>
          <w:color w:val="000000"/>
        </w:rPr>
      </w:pPr>
    </w:p>
    <w:p w14:paraId="22CE6798" w14:textId="77777777" w:rsidR="00277A0A" w:rsidRPr="00277A0A" w:rsidRDefault="00277A0A" w:rsidP="003905A5">
      <w:pPr>
        <w:pStyle w:val="NormalWeb"/>
        <w:rPr>
          <w:rFonts w:asciiTheme="majorHAnsi" w:hAnsiTheme="majorHAnsi"/>
          <w:color w:val="000000"/>
        </w:rPr>
      </w:pPr>
    </w:p>
    <w:p w14:paraId="767D7173" w14:textId="432A24D4" w:rsidR="003905A5" w:rsidRPr="00277A0A" w:rsidRDefault="00277A0A" w:rsidP="00277A0A">
      <w:pPr>
        <w:pStyle w:val="NormalWeb"/>
        <w:numPr>
          <w:ilvl w:val="0"/>
          <w:numId w:val="4"/>
        </w:numPr>
        <w:rPr>
          <w:rFonts w:asciiTheme="majorHAnsi" w:hAnsiTheme="majorHAnsi"/>
          <w:color w:val="000000"/>
        </w:rPr>
      </w:pPr>
      <w:r w:rsidRPr="00277A0A">
        <w:rPr>
          <w:rFonts w:asciiTheme="majorHAnsi" w:hAnsiTheme="majorHAnsi"/>
          <w:color w:val="000000"/>
        </w:rPr>
        <w:t>Brevets déposés et capitalisation boursière : un lien ténu</w:t>
      </w:r>
    </w:p>
    <w:p w14:paraId="54695B80"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Ce tableau présente les</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statistiques descriptives du cours de l’action Sanofi</w:t>
      </w:r>
      <w:r w:rsidRPr="00277A0A">
        <w:rPr>
          <w:rStyle w:val="apple-converted-space"/>
          <w:rFonts w:asciiTheme="majorHAnsi" w:eastAsiaTheme="majorEastAsia" w:hAnsiTheme="majorHAnsi"/>
          <w:color w:val="000000"/>
        </w:rPr>
        <w:t> </w:t>
      </w:r>
      <w:r w:rsidRPr="00277A0A">
        <w:rPr>
          <w:rFonts w:asciiTheme="majorHAnsi" w:hAnsiTheme="majorHAnsi"/>
          <w:color w:val="000000"/>
        </w:rPr>
        <w:t>entre janvier 2019 et décembre 2023.</w:t>
      </w:r>
      <w:r w:rsidRPr="00277A0A">
        <w:rPr>
          <w:rFonts w:asciiTheme="majorHAnsi" w:hAnsiTheme="majorHAnsi"/>
          <w:color w:val="000000"/>
        </w:rPr>
        <w:br/>
        <w:t>Il résume l’évolution du prix de l’action sur cette période.</w:t>
      </w:r>
    </w:p>
    <w:p w14:paraId="68E817B6"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Tout d’abord, on voit la ligne</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count</w:t>
      </w:r>
      <w:r w:rsidRPr="00277A0A">
        <w:rPr>
          <w:rFonts w:asciiTheme="majorHAnsi" w:hAnsiTheme="majorHAnsi"/>
          <w:color w:val="000000"/>
        </w:rPr>
        <w:t>, qui indique qu’il y a</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61 valeurs</w:t>
      </w:r>
      <w:r w:rsidRPr="00277A0A">
        <w:rPr>
          <w:rFonts w:asciiTheme="majorHAnsi" w:hAnsiTheme="majorHAnsi"/>
          <w:color w:val="000000"/>
        </w:rPr>
        <w:t>. Cela correspond au nombre de mois étudiés, donc environ cinq ans de données.</w:t>
      </w:r>
    </w:p>
    <w:p w14:paraId="2AE295A2"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Ensuite, la ligne</w:t>
      </w:r>
      <w:r w:rsidRPr="00277A0A">
        <w:rPr>
          <w:rStyle w:val="apple-converted-space"/>
          <w:rFonts w:asciiTheme="majorHAnsi" w:eastAsiaTheme="majorEastAsia" w:hAnsiTheme="majorHAnsi"/>
          <w:color w:val="000000"/>
        </w:rPr>
        <w:t> </w:t>
      </w:r>
      <w:proofErr w:type="spellStart"/>
      <w:r w:rsidRPr="00277A0A">
        <w:rPr>
          <w:rStyle w:val="lev"/>
          <w:rFonts w:asciiTheme="majorHAnsi" w:eastAsiaTheme="majorEastAsia" w:hAnsiTheme="majorHAnsi"/>
          <w:b w:val="0"/>
          <w:bCs w:val="0"/>
          <w:color w:val="000000"/>
        </w:rPr>
        <w:t>mean</w:t>
      </w:r>
      <w:proofErr w:type="spellEnd"/>
      <w:r w:rsidRPr="00277A0A">
        <w:rPr>
          <w:rStyle w:val="apple-converted-space"/>
          <w:rFonts w:asciiTheme="majorHAnsi" w:eastAsiaTheme="majorEastAsia" w:hAnsiTheme="majorHAnsi"/>
          <w:color w:val="000000"/>
        </w:rPr>
        <w:t> </w:t>
      </w:r>
      <w:r w:rsidRPr="00277A0A">
        <w:rPr>
          <w:rFonts w:asciiTheme="majorHAnsi" w:hAnsiTheme="majorHAnsi"/>
          <w:color w:val="000000"/>
        </w:rPr>
        <w:t>représente la</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moyenne du cours de l’action</w:t>
      </w:r>
      <w:r w:rsidRPr="00277A0A">
        <w:rPr>
          <w:rStyle w:val="apple-converted-space"/>
          <w:rFonts w:asciiTheme="majorHAnsi" w:eastAsiaTheme="majorEastAsia" w:hAnsiTheme="majorHAnsi"/>
          <w:color w:val="000000"/>
        </w:rPr>
        <w:t> </w:t>
      </w:r>
      <w:r w:rsidRPr="00277A0A">
        <w:rPr>
          <w:rFonts w:asciiTheme="majorHAnsi" w:hAnsiTheme="majorHAnsi"/>
          <w:color w:val="000000"/>
        </w:rPr>
        <w:t>sur toute la période. Ici, le prix moyen est d’environ</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86,6 euros</w:t>
      </w:r>
      <w:r w:rsidRPr="00277A0A">
        <w:rPr>
          <w:rFonts w:asciiTheme="majorHAnsi" w:hAnsiTheme="majorHAnsi"/>
          <w:color w:val="000000"/>
        </w:rPr>
        <w:t>. Cela nous donne une idée du niveau global de l’action.</w:t>
      </w:r>
    </w:p>
    <w:p w14:paraId="51932CA3"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La ligne</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min</w:t>
      </w:r>
      <w:r w:rsidRPr="00277A0A">
        <w:rPr>
          <w:rStyle w:val="apple-converted-space"/>
          <w:rFonts w:asciiTheme="majorHAnsi" w:eastAsiaTheme="majorEastAsia" w:hAnsiTheme="majorHAnsi"/>
          <w:color w:val="000000"/>
        </w:rPr>
        <w:t> </w:t>
      </w:r>
      <w:r w:rsidRPr="00277A0A">
        <w:rPr>
          <w:rFonts w:asciiTheme="majorHAnsi" w:hAnsiTheme="majorHAnsi"/>
          <w:color w:val="000000"/>
        </w:rPr>
        <w:t>montre le</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prix le plus bas</w:t>
      </w:r>
      <w:r w:rsidRPr="00277A0A">
        <w:rPr>
          <w:rStyle w:val="apple-converted-space"/>
          <w:rFonts w:asciiTheme="majorHAnsi" w:eastAsiaTheme="majorEastAsia" w:hAnsiTheme="majorHAnsi"/>
          <w:color w:val="000000"/>
        </w:rPr>
        <w:t> </w:t>
      </w:r>
      <w:r w:rsidRPr="00277A0A">
        <w:rPr>
          <w:rFonts w:asciiTheme="majorHAnsi" w:hAnsiTheme="majorHAnsi"/>
          <w:color w:val="000000"/>
        </w:rPr>
        <w:t>atteint sur la période, qui est d’environ</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71,8 euros</w:t>
      </w:r>
      <w:r w:rsidRPr="00277A0A">
        <w:rPr>
          <w:rFonts w:asciiTheme="majorHAnsi" w:hAnsiTheme="majorHAnsi"/>
          <w:color w:val="000000"/>
        </w:rPr>
        <w:t>.</w:t>
      </w:r>
      <w:r w:rsidRPr="00277A0A">
        <w:rPr>
          <w:rFonts w:asciiTheme="majorHAnsi" w:hAnsiTheme="majorHAnsi"/>
          <w:color w:val="000000"/>
        </w:rPr>
        <w:br/>
        <w:t>À l’inverse, la ligne</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max</w:t>
      </w:r>
      <w:r w:rsidRPr="00277A0A">
        <w:rPr>
          <w:rStyle w:val="apple-converted-space"/>
          <w:rFonts w:asciiTheme="majorHAnsi" w:eastAsiaTheme="majorEastAsia" w:hAnsiTheme="majorHAnsi"/>
          <w:color w:val="000000"/>
        </w:rPr>
        <w:t> </w:t>
      </w:r>
      <w:r w:rsidRPr="00277A0A">
        <w:rPr>
          <w:rFonts w:asciiTheme="majorHAnsi" w:hAnsiTheme="majorHAnsi"/>
          <w:color w:val="000000"/>
        </w:rPr>
        <w:t>indique le</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prix le plus élevé</w:t>
      </w:r>
      <w:r w:rsidRPr="00277A0A">
        <w:rPr>
          <w:rFonts w:asciiTheme="majorHAnsi" w:hAnsiTheme="majorHAnsi"/>
          <w:color w:val="000000"/>
        </w:rPr>
        <w:t>, qui est d’environ</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101,5 euros</w:t>
      </w:r>
      <w:r w:rsidRPr="00277A0A">
        <w:rPr>
          <w:rFonts w:asciiTheme="majorHAnsi" w:hAnsiTheme="majorHAnsi"/>
          <w:color w:val="000000"/>
        </w:rPr>
        <w:t>.</w:t>
      </w:r>
      <w:r w:rsidRPr="00277A0A">
        <w:rPr>
          <w:rFonts w:asciiTheme="majorHAnsi" w:hAnsiTheme="majorHAnsi"/>
          <w:color w:val="000000"/>
        </w:rPr>
        <w:br/>
        <w:t>On peut donc voir que l’action a globalement augmenté entre le point le plus bas et le plus haut.</w:t>
      </w:r>
    </w:p>
    <w:p w14:paraId="16243951"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Les lignes</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25 %, 50 % et 75 %</w:t>
      </w:r>
      <w:r w:rsidRPr="00277A0A">
        <w:rPr>
          <w:rStyle w:val="apple-converted-space"/>
          <w:rFonts w:asciiTheme="majorHAnsi" w:eastAsiaTheme="majorEastAsia" w:hAnsiTheme="majorHAnsi"/>
          <w:color w:val="000000"/>
        </w:rPr>
        <w:t> </w:t>
      </w:r>
      <w:r w:rsidRPr="00277A0A">
        <w:rPr>
          <w:rFonts w:asciiTheme="majorHAnsi" w:hAnsiTheme="majorHAnsi"/>
          <w:color w:val="000000"/>
        </w:rPr>
        <w:t>représentent les quartiles :</w:t>
      </w:r>
    </w:p>
    <w:p w14:paraId="06B79293" w14:textId="77777777" w:rsidR="003905A5" w:rsidRPr="00277A0A" w:rsidRDefault="003905A5" w:rsidP="003905A5">
      <w:pPr>
        <w:pStyle w:val="NormalWeb"/>
        <w:numPr>
          <w:ilvl w:val="0"/>
          <w:numId w:val="3"/>
        </w:numPr>
        <w:rPr>
          <w:rFonts w:asciiTheme="majorHAnsi" w:hAnsiTheme="majorHAnsi"/>
          <w:color w:val="000000"/>
        </w:rPr>
      </w:pPr>
      <w:r w:rsidRPr="00277A0A">
        <w:rPr>
          <w:rStyle w:val="lev"/>
          <w:rFonts w:asciiTheme="majorHAnsi" w:eastAsiaTheme="majorEastAsia" w:hAnsiTheme="majorHAnsi"/>
          <w:b w:val="0"/>
          <w:bCs w:val="0"/>
          <w:color w:val="000000"/>
        </w:rPr>
        <w:t>25 %</w:t>
      </w:r>
      <w:r w:rsidRPr="00277A0A">
        <w:rPr>
          <w:rStyle w:val="apple-converted-space"/>
          <w:rFonts w:asciiTheme="majorHAnsi" w:eastAsiaTheme="majorEastAsia" w:hAnsiTheme="majorHAnsi"/>
          <w:color w:val="000000"/>
        </w:rPr>
        <w:t> </w:t>
      </w:r>
      <w:r w:rsidRPr="00277A0A">
        <w:rPr>
          <w:rFonts w:asciiTheme="majorHAnsi" w:hAnsiTheme="majorHAnsi"/>
          <w:color w:val="000000"/>
        </w:rPr>
        <w:t>: un quart des valeurs sont en dessous d’environ</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82,2 euros</w:t>
      </w:r>
      <w:r w:rsidRPr="00277A0A">
        <w:rPr>
          <w:rFonts w:asciiTheme="majorHAnsi" w:hAnsiTheme="majorHAnsi"/>
          <w:color w:val="000000"/>
        </w:rPr>
        <w:t>.</w:t>
      </w:r>
    </w:p>
    <w:p w14:paraId="4B7EC314" w14:textId="77777777" w:rsidR="003905A5" w:rsidRPr="00277A0A" w:rsidRDefault="003905A5" w:rsidP="003905A5">
      <w:pPr>
        <w:pStyle w:val="NormalWeb"/>
        <w:numPr>
          <w:ilvl w:val="0"/>
          <w:numId w:val="3"/>
        </w:numPr>
        <w:rPr>
          <w:rFonts w:asciiTheme="majorHAnsi" w:hAnsiTheme="majorHAnsi"/>
          <w:color w:val="000000"/>
        </w:rPr>
      </w:pPr>
      <w:r w:rsidRPr="00277A0A">
        <w:rPr>
          <w:rStyle w:val="lev"/>
          <w:rFonts w:asciiTheme="majorHAnsi" w:eastAsiaTheme="majorEastAsia" w:hAnsiTheme="majorHAnsi"/>
          <w:b w:val="0"/>
          <w:bCs w:val="0"/>
          <w:color w:val="000000"/>
        </w:rPr>
        <w:t>50 %</w:t>
      </w:r>
      <w:r w:rsidRPr="00277A0A">
        <w:rPr>
          <w:rStyle w:val="apple-converted-space"/>
          <w:rFonts w:asciiTheme="majorHAnsi" w:eastAsiaTheme="majorEastAsia" w:hAnsiTheme="majorHAnsi"/>
          <w:color w:val="000000"/>
        </w:rPr>
        <w:t> </w:t>
      </w:r>
      <w:r w:rsidRPr="00277A0A">
        <w:rPr>
          <w:rFonts w:asciiTheme="majorHAnsi" w:hAnsiTheme="majorHAnsi"/>
          <w:color w:val="000000"/>
        </w:rPr>
        <w:t>: c’est la</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médiane</w:t>
      </w:r>
      <w:r w:rsidRPr="00277A0A">
        <w:rPr>
          <w:rFonts w:asciiTheme="majorHAnsi" w:hAnsiTheme="majorHAnsi"/>
          <w:color w:val="000000"/>
        </w:rPr>
        <w:t>, donc la valeur centrale, autour de</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86,5 euros</w:t>
      </w:r>
      <w:r w:rsidRPr="00277A0A">
        <w:rPr>
          <w:rFonts w:asciiTheme="majorHAnsi" w:hAnsiTheme="majorHAnsi"/>
          <w:color w:val="000000"/>
        </w:rPr>
        <w:t>.</w:t>
      </w:r>
    </w:p>
    <w:p w14:paraId="590EC083" w14:textId="77777777" w:rsidR="003905A5" w:rsidRPr="00277A0A" w:rsidRDefault="003905A5" w:rsidP="003905A5">
      <w:pPr>
        <w:pStyle w:val="NormalWeb"/>
        <w:numPr>
          <w:ilvl w:val="0"/>
          <w:numId w:val="3"/>
        </w:numPr>
        <w:rPr>
          <w:rFonts w:asciiTheme="majorHAnsi" w:hAnsiTheme="majorHAnsi"/>
          <w:color w:val="000000"/>
        </w:rPr>
      </w:pPr>
      <w:r w:rsidRPr="00277A0A">
        <w:rPr>
          <w:rStyle w:val="lev"/>
          <w:rFonts w:asciiTheme="majorHAnsi" w:eastAsiaTheme="majorEastAsia" w:hAnsiTheme="majorHAnsi"/>
          <w:b w:val="0"/>
          <w:bCs w:val="0"/>
          <w:color w:val="000000"/>
        </w:rPr>
        <w:t>75 %</w:t>
      </w:r>
      <w:r w:rsidRPr="00277A0A">
        <w:rPr>
          <w:rStyle w:val="apple-converted-space"/>
          <w:rFonts w:asciiTheme="majorHAnsi" w:eastAsiaTheme="majorEastAsia" w:hAnsiTheme="majorHAnsi"/>
          <w:color w:val="000000"/>
        </w:rPr>
        <w:t> </w:t>
      </w:r>
      <w:r w:rsidRPr="00277A0A">
        <w:rPr>
          <w:rFonts w:asciiTheme="majorHAnsi" w:hAnsiTheme="majorHAnsi"/>
          <w:color w:val="000000"/>
        </w:rPr>
        <w:t>: trois quarts des valeurs sont en dessous d’environ</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89,8 euros</w:t>
      </w:r>
      <w:r w:rsidRPr="00277A0A">
        <w:rPr>
          <w:rFonts w:asciiTheme="majorHAnsi" w:hAnsiTheme="majorHAnsi"/>
          <w:color w:val="000000"/>
        </w:rPr>
        <w:t>.</w:t>
      </w:r>
    </w:p>
    <w:p w14:paraId="25FC5129" w14:textId="77777777" w:rsidR="003905A5" w:rsidRPr="00277A0A" w:rsidRDefault="003905A5" w:rsidP="003905A5">
      <w:pPr>
        <w:pStyle w:val="NormalWeb"/>
        <w:rPr>
          <w:rFonts w:asciiTheme="majorHAnsi" w:hAnsiTheme="majorHAnsi"/>
          <w:color w:val="000000"/>
        </w:rPr>
      </w:pPr>
      <w:r w:rsidRPr="00277A0A">
        <w:rPr>
          <w:rFonts w:asciiTheme="majorHAnsi" w:hAnsiTheme="majorHAnsi"/>
          <w:color w:val="000000"/>
        </w:rPr>
        <w:t>Enfin, la ligne</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std</w:t>
      </w:r>
      <w:r w:rsidRPr="00277A0A">
        <w:rPr>
          <w:rStyle w:val="apple-converted-space"/>
          <w:rFonts w:asciiTheme="majorHAnsi" w:eastAsiaTheme="majorEastAsia" w:hAnsiTheme="majorHAnsi"/>
          <w:color w:val="000000"/>
        </w:rPr>
        <w:t> </w:t>
      </w:r>
      <w:r w:rsidRPr="00277A0A">
        <w:rPr>
          <w:rFonts w:asciiTheme="majorHAnsi" w:hAnsiTheme="majorHAnsi"/>
          <w:color w:val="000000"/>
        </w:rPr>
        <w:t>correspond à l’</w:t>
      </w:r>
      <w:r w:rsidRPr="00277A0A">
        <w:rPr>
          <w:rStyle w:val="lev"/>
          <w:rFonts w:asciiTheme="majorHAnsi" w:eastAsiaTheme="majorEastAsia" w:hAnsiTheme="majorHAnsi"/>
          <w:b w:val="0"/>
          <w:bCs w:val="0"/>
          <w:color w:val="000000"/>
        </w:rPr>
        <w:t>écart-type</w:t>
      </w:r>
      <w:r w:rsidRPr="00277A0A">
        <w:rPr>
          <w:rFonts w:asciiTheme="majorHAnsi" w:hAnsiTheme="majorHAnsi"/>
          <w:color w:val="000000"/>
        </w:rPr>
        <w:t>, qui est d’environ</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7,55 euros</w:t>
      </w:r>
      <w:r w:rsidRPr="00277A0A">
        <w:rPr>
          <w:rFonts w:asciiTheme="majorHAnsi" w:hAnsiTheme="majorHAnsi"/>
          <w:color w:val="000000"/>
        </w:rPr>
        <w:t>. Cela mesure la variation du cours autour de la moyenne. Ici, cela montre que le prix a varié de façon modérée sur la période.</w:t>
      </w:r>
    </w:p>
    <w:p w14:paraId="4CFBA848" w14:textId="740B78CB" w:rsidR="00A86A90" w:rsidRPr="00277A0A" w:rsidRDefault="003905A5" w:rsidP="00277A0A">
      <w:pPr>
        <w:pStyle w:val="NormalWeb"/>
        <w:rPr>
          <w:rFonts w:asciiTheme="majorHAnsi" w:hAnsiTheme="majorHAnsi"/>
          <w:color w:val="000000"/>
        </w:rPr>
      </w:pPr>
      <w:r w:rsidRPr="00277A0A">
        <w:rPr>
          <w:rFonts w:asciiTheme="majorHAnsi" w:hAnsiTheme="majorHAnsi"/>
          <w:color w:val="000000"/>
        </w:rPr>
        <w:t>En résumé, ce tableau montre que l’action Sanofi est restée globalement</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stable avec une tendance à la hausse</w:t>
      </w:r>
      <w:r w:rsidRPr="00277A0A">
        <w:rPr>
          <w:rFonts w:asciiTheme="majorHAnsi" w:hAnsiTheme="majorHAnsi"/>
          <w:color w:val="000000"/>
        </w:rPr>
        <w:t>, passant d’environ 72 euros à plus de 100 euros sur cinq ans.</w:t>
      </w:r>
    </w:p>
    <w:p w14:paraId="6B4D9591" w14:textId="77777777" w:rsidR="0071612D" w:rsidRPr="00277A0A" w:rsidRDefault="0071612D" w:rsidP="0071612D">
      <w:pPr>
        <w:pStyle w:val="NormalWeb"/>
        <w:rPr>
          <w:rFonts w:asciiTheme="majorHAnsi" w:hAnsiTheme="majorHAnsi"/>
          <w:color w:val="000000"/>
        </w:rPr>
      </w:pPr>
      <w:r w:rsidRPr="00277A0A">
        <w:rPr>
          <w:rFonts w:asciiTheme="majorHAnsi" w:hAnsiTheme="majorHAnsi"/>
          <w:color w:val="000000"/>
        </w:rPr>
        <w:t>En comparant le cours de l’action Sanofi et le nombre de brevets déposés par année, on peut essayer de repérer certaines tendances.</w:t>
      </w:r>
    </w:p>
    <w:p w14:paraId="1A6FDA28" w14:textId="77777777" w:rsidR="0071612D" w:rsidRPr="00277A0A" w:rsidRDefault="0071612D" w:rsidP="0071612D">
      <w:pPr>
        <w:pStyle w:val="NormalWeb"/>
        <w:rPr>
          <w:rFonts w:asciiTheme="majorHAnsi" w:hAnsiTheme="majorHAnsi"/>
          <w:color w:val="000000"/>
        </w:rPr>
      </w:pPr>
      <w:r w:rsidRPr="00277A0A">
        <w:rPr>
          <w:rFonts w:asciiTheme="majorHAnsi" w:hAnsiTheme="majorHAnsi"/>
          <w:color w:val="000000"/>
        </w:rPr>
        <w:t>Tout d’abord, on observe que le nombre de brevets varie selon les années. Par exemple, il y a une baisse en 2020 avec environ 93 brevets, puis une forte hausse en 2021 avec plus de 120 brevets déposés. Ensuite, le nombre de brevets redescend légèrement en 2022 et 2023, avant d’atteindre un nouveau maximum en 2024 avec 124 brevets.</w:t>
      </w:r>
    </w:p>
    <w:p w14:paraId="5010FB62" w14:textId="77777777" w:rsidR="0071612D" w:rsidRPr="00277A0A" w:rsidRDefault="0071612D" w:rsidP="0071612D">
      <w:pPr>
        <w:pStyle w:val="NormalWeb"/>
        <w:rPr>
          <w:rFonts w:asciiTheme="majorHAnsi" w:hAnsiTheme="majorHAnsi"/>
          <w:color w:val="000000"/>
        </w:rPr>
      </w:pPr>
      <w:r w:rsidRPr="00277A0A">
        <w:rPr>
          <w:rFonts w:asciiTheme="majorHAnsi" w:hAnsiTheme="majorHAnsi"/>
          <w:color w:val="000000"/>
        </w:rPr>
        <w:t>Si on compare ces données avec le cours de l’action, on remarque que le prix augmente globalement entre 2021 et 2023, avec des valeurs qui dépassent parfois les 100 euros en 2022 et 2023.</w:t>
      </w:r>
    </w:p>
    <w:p w14:paraId="3688CA0D" w14:textId="77777777" w:rsidR="0071612D" w:rsidRPr="00277A0A" w:rsidRDefault="0071612D" w:rsidP="0071612D">
      <w:pPr>
        <w:pStyle w:val="NormalWeb"/>
        <w:rPr>
          <w:rFonts w:asciiTheme="majorHAnsi" w:hAnsiTheme="majorHAnsi"/>
          <w:color w:val="000000"/>
        </w:rPr>
      </w:pPr>
      <w:r w:rsidRPr="00277A0A">
        <w:rPr>
          <w:rFonts w:asciiTheme="majorHAnsi" w:hAnsiTheme="majorHAnsi"/>
          <w:color w:val="000000"/>
        </w:rPr>
        <w:lastRenderedPageBreak/>
        <w:t>On peut donc se poser la question :</w:t>
      </w:r>
      <w:r w:rsidRPr="00277A0A">
        <w:rPr>
          <w:rStyle w:val="apple-converted-space"/>
          <w:rFonts w:asciiTheme="majorHAnsi" w:eastAsiaTheme="majorEastAsia" w:hAnsiTheme="majorHAnsi"/>
          <w:color w:val="000000"/>
        </w:rPr>
        <w:t> </w:t>
      </w:r>
      <w:r w:rsidRPr="00277A0A">
        <w:rPr>
          <w:rStyle w:val="lev"/>
          <w:rFonts w:asciiTheme="majorHAnsi" w:eastAsiaTheme="majorEastAsia" w:hAnsiTheme="majorHAnsi"/>
          <w:b w:val="0"/>
          <w:bCs w:val="0"/>
          <w:color w:val="000000"/>
        </w:rPr>
        <w:t>est-ce que la hausse du cours de l’action est liée à l’augmentation du nombre de brevets ?</w:t>
      </w:r>
      <w:r w:rsidRPr="00277A0A">
        <w:rPr>
          <w:rFonts w:asciiTheme="majorHAnsi" w:hAnsiTheme="majorHAnsi"/>
          <w:color w:val="000000"/>
        </w:rPr>
        <w:br/>
        <w:t>On peut supposer que lorsque Sanofi dépose plus de brevets, cela signifie qu’elle développe de nouveaux médicaments ou technologies. Cela peut rassurer les investisseurs, car cela montre que l’entreprise prépare des produits pour le futur, ce qui peut augmenter sa valeur en bourse.</w:t>
      </w:r>
    </w:p>
    <w:p w14:paraId="38BC1A55" w14:textId="77777777" w:rsidR="0071612D" w:rsidRPr="00277A0A" w:rsidRDefault="0071612D" w:rsidP="0071612D">
      <w:pPr>
        <w:pStyle w:val="NormalWeb"/>
        <w:rPr>
          <w:rFonts w:asciiTheme="majorHAnsi" w:hAnsiTheme="majorHAnsi"/>
          <w:color w:val="000000"/>
        </w:rPr>
      </w:pPr>
      <w:r w:rsidRPr="00277A0A">
        <w:rPr>
          <w:rFonts w:asciiTheme="majorHAnsi" w:hAnsiTheme="majorHAnsi"/>
          <w:color w:val="000000"/>
        </w:rPr>
        <w:t>Par exemple, la hausse du nombre de brevets en 2021 pourrait avoir renforcé la confiance des marchés, ce qui expliquerait la progression du cours de l’action en 2022 et 2023.</w:t>
      </w:r>
    </w:p>
    <w:p w14:paraId="0F21BD76" w14:textId="71EB6168" w:rsidR="0071612D" w:rsidRDefault="0071612D" w:rsidP="0071612D">
      <w:pPr>
        <w:pStyle w:val="NormalWeb"/>
        <w:rPr>
          <w:rFonts w:asciiTheme="majorHAnsi" w:hAnsiTheme="majorHAnsi"/>
          <w:color w:val="000000"/>
        </w:rPr>
      </w:pPr>
      <w:r w:rsidRPr="00277A0A">
        <w:rPr>
          <w:rFonts w:asciiTheme="majorHAnsi" w:hAnsiTheme="majorHAnsi"/>
          <w:color w:val="000000"/>
        </w:rPr>
        <w:t xml:space="preserve">On peut donc supposer qu’il existe un lien entre les dépôts de brevets et le cours de l’action, </w:t>
      </w:r>
      <w:r w:rsidR="00B37EB6" w:rsidRPr="00277A0A">
        <w:rPr>
          <w:rFonts w:asciiTheme="majorHAnsi" w:hAnsiTheme="majorHAnsi"/>
          <w:color w:val="000000"/>
        </w:rPr>
        <w:t>mais on le verra plus tard avec la matrice de corrélation</w:t>
      </w:r>
      <w:r w:rsidR="00277A0A">
        <w:rPr>
          <w:rFonts w:asciiTheme="majorHAnsi" w:hAnsiTheme="majorHAnsi"/>
          <w:color w:val="000000"/>
        </w:rPr>
        <w:t>.</w:t>
      </w:r>
    </w:p>
    <w:p w14:paraId="561B73F3" w14:textId="74152C01" w:rsidR="00277A0A" w:rsidRPr="00277A0A" w:rsidRDefault="00277A0A" w:rsidP="00277A0A">
      <w:pPr>
        <w:pStyle w:val="NormalWeb"/>
        <w:numPr>
          <w:ilvl w:val="0"/>
          <w:numId w:val="4"/>
        </w:numPr>
        <w:rPr>
          <w:rFonts w:asciiTheme="majorHAnsi" w:hAnsiTheme="majorHAnsi"/>
          <w:color w:val="000000"/>
        </w:rPr>
      </w:pPr>
      <w:r>
        <w:rPr>
          <w:rFonts w:asciiTheme="majorHAnsi" w:hAnsiTheme="majorHAnsi"/>
          <w:color w:val="000000"/>
        </w:rPr>
        <w:t>Essai clinique : un moteur de la croissance boursière ?</w:t>
      </w:r>
    </w:p>
    <w:p w14:paraId="25256405"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L’objectif de cette présentation est d’analyser dans quelle mesure la recherche et développement impacte la capitalisation boursière de Sanofi. Pour répondre à cette problématique, nous disposons de deux graphiques et d’une matrice de corrélation. Le premier graphique présente la répartition des essais cliniques de Sanofi par année et par statut entre 2019 et 2023. Le deuxième illustre l’évolution du cours de l’action sur une période similaire. Enfin, la matrice de corrélation met en relation trois variables : le nombre de brevets déposés, le prix de l’action et le nombre de succès cliniques. L’analyse conjointe de ces éléments permet d’établir un lien entre la performance en R&amp;D et la valorisation boursière du groupe.</w:t>
      </w:r>
    </w:p>
    <w:p w14:paraId="267ACE1D"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Le premier graphique met en évidence une augmentation nette du nombre d’essais cliniques réussis sur la période étudiée. En 2019, le nombre de succès est très faible. Il augmente progressivement en 2020, puis connaît une accélération marquée à partir de 2021. La tendance se confirme en 2022 et atteint un niveau particulièrement élevé en 2023. Cette dynamique traduit une intensification de l’activité de recherche et développement, mais surtout une amélioration de son efficacité. En effet, dans l’industrie pharmaceutique, le simple volume d’essais ne suffit pas à créer de la valeur : c’est leur taux de réussite qui est déterminant. Chaque succès clinique représente la possibilité d’une future autorisation de mise sur le marché, donc de flux de revenus potentiellement significatifs. À l’inverse, un échec correspond à des coûts irrécupérables et peut peser négativement sur la perception des investisseurs.</w:t>
      </w:r>
    </w:p>
    <w:p w14:paraId="5041EE26"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On observe également que, même si le nombre d’échecs varie au cours du temps, la progression des succès est beaucoup plus marquée. Cela suggère une amélioration du ratio succès/échec, ce qui est essentiel du point de vue financier. Dans un secteur caractérisé par une forte incertitude technologique, la réduction du risque d’échec constitue un signal positif pour le marché. Ainsi, la montée en puissance des essais réussis peut être interprétée comme un renforcement du pipeline de produits et donc comme un facteur favorable à la valorisation future de l’entreprise.</w:t>
      </w:r>
    </w:p>
    <w:p w14:paraId="0C5A09D0"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 xml:space="preserve">Le deuxième graphique présente l’évolution du cours de l’action Sanofi entre 2019 et 2024. On observe une tendance globalement haussière sur la période, malgré des phases de volatilité. Le cours passe d’un niveau relativement modéré en 2019 à des niveaux nettement </w:t>
      </w:r>
      <w:r w:rsidRPr="00907149">
        <w:rPr>
          <w:rFonts w:asciiTheme="majorHAnsi" w:hAnsiTheme="majorHAnsi"/>
          <w:color w:val="000000"/>
        </w:rPr>
        <w:lastRenderedPageBreak/>
        <w:t>plus élevés en 2022 et 2023, avec des pics dépassant les 100 euros. Cette progression traduit une augmentation de la capitalisation boursière, puisque celle-ci correspond au prix de l’action multiplié par le nombre d’actions en circulation.</w:t>
      </w:r>
    </w:p>
    <w:p w14:paraId="75373A84"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En finance, la valeur d’une entreprise est théoriquement égale à la somme actualisée des flux de trésorerie futurs anticipés. Toute information susceptible d’augmenter ces flux attendus ou de réduire le risque perçu peut entraîner une hausse du cours. Les succès cliniques jouent précisément ce rôle. Lorsqu’un médicament franchit avec succès une étape majeure de développement, la probabilité de génération de revenus futurs augmente. Les investisseurs intègrent cette information dans leurs anticipations, ce qui se traduit par une réévaluation du titre. La dynamique haussière observée sur le graphique du cours semble donc cohérente avec l’amélioration progressive des performances cliniques observée sur le premier graphique.</w:t>
      </w:r>
    </w:p>
    <w:p w14:paraId="62CCBE81"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La mise en relation des deux graphiques suggère une correspondance temporelle entre l’accélération des succès cliniques et l’appréciation du cours de l’action, notamment à partir de 2021. Toutefois, une analyse rigoureuse nécessite de dépasser la simple observation visuelle. C’est précisément l’apport de la matrice de corrélation.</w:t>
      </w:r>
    </w:p>
    <w:p w14:paraId="63B551EC"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La matrice présente trois coefficients clés. La corrélation entre le prix de l’action et le nombre de succès est très élevée, à 0,92. Ce chiffre indique une relation positive extrêmement forte. Autrement dit, lorsque le nombre de succès augmente, le prix de l’action tend à augmenter également. Ce résultat conforte l’idée que le marché valorise fortement les avancées concrètes issues de la R&amp;D. Les succès cliniques réduisent l’incertitude, améliorent la visibilité sur les revenus futurs et renforcent la crédibilité stratégique du groupe. Ils constituent donc un déterminant majeur de la capitalisation boursière.</w:t>
      </w:r>
    </w:p>
    <w:p w14:paraId="3E14BCA0"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En revanche, la corrélation entre le nombre de brevets déposés et le prix de l’action est très faible, autour de 0,08. Cela signifie que le simple fait de déposer des brevets n’a pas d’impact significatif direct sur la valorisation boursière. Ce résultat est cohérent avec la réalité économique du secteur pharmaceutique : un brevet représente un potentiel, mais ne garantit ni succès clinique ni rentabilité commerciale. Les investisseurs semblent donc accorder davantage d’importance aux résultats concrets des essais qu’à l’activité d’innovation en amont.</w:t>
      </w:r>
    </w:p>
    <w:p w14:paraId="3C952390"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Enfin, la corrélation entre le nombre de brevets et le nombre de succès est modérée, autour de 0,26. Cela suggère qu’il existe un lien entre l’activité d’innovation et les résultats cliniques, mais qu’il n’est ni automatique ni systématique. Tous les brevets ne débouchent pas sur des médicaments commercialisables. La création de valeur dépend donc de la capacité de l’entreprise à transformer la recherche fondamentale en succès thérapeutiques validés.</w:t>
      </w:r>
    </w:p>
    <w:p w14:paraId="40821232" w14:textId="77777777" w:rsidR="00277A0A" w:rsidRPr="00907149" w:rsidRDefault="00277A0A" w:rsidP="00277A0A">
      <w:pPr>
        <w:pStyle w:val="NormalWeb"/>
        <w:rPr>
          <w:rFonts w:asciiTheme="majorHAnsi" w:hAnsiTheme="majorHAnsi"/>
          <w:color w:val="000000"/>
        </w:rPr>
      </w:pPr>
      <w:r w:rsidRPr="00907149">
        <w:rPr>
          <w:rFonts w:asciiTheme="majorHAnsi" w:hAnsiTheme="majorHAnsi"/>
          <w:color w:val="000000"/>
        </w:rPr>
        <w:t>Au regard de ces éléments, il est possible de répondre à la problématique. La recherche et développement impacte la capitalisation boursière de Sanofi principalement à travers la réussite des essais cliniques. L’innovation en elle-même ne suffit pas à générer de la valeur boursière ; c’est sa transformation en produits viables, susceptibles de générer des flux de trésorerie futurs, qui est déterminante. Les investisseurs ne valorisent pas seulement l’effort de R&amp;D, mais surtout son efficacité et sa capacité à réduire le risque technologique.</w:t>
      </w:r>
    </w:p>
    <w:p w14:paraId="5900DB8F" w14:textId="77777777" w:rsidR="00277A0A" w:rsidRDefault="00277A0A" w:rsidP="00277A0A">
      <w:pPr>
        <w:pStyle w:val="NormalWeb"/>
        <w:rPr>
          <w:rFonts w:asciiTheme="majorHAnsi" w:hAnsiTheme="majorHAnsi"/>
          <w:color w:val="000000"/>
        </w:rPr>
      </w:pPr>
      <w:r w:rsidRPr="00907149">
        <w:rPr>
          <w:rFonts w:asciiTheme="majorHAnsi" w:hAnsiTheme="majorHAnsi"/>
          <w:color w:val="000000"/>
        </w:rPr>
        <w:lastRenderedPageBreak/>
        <w:t>Ainsi, la R&amp;D agit comme un moteur de création de valeur à condition qu’elle débouche sur des succès concrets. Le lien très fort observé entre succès cliniques et prix de l’action montre que le marché intègre fortement l’information issue du pipeline de développement. La capitalisation boursière de Sanofi apparaît donc étroitement dépendante de la performance de sa stratégie d’innovation, non pas en volume de brevets, mais en termes de résultats cliniques tangibles.</w:t>
      </w:r>
    </w:p>
    <w:p w14:paraId="10F3DD29" w14:textId="77777777" w:rsidR="00277A0A" w:rsidRPr="003C1EC4" w:rsidRDefault="00277A0A" w:rsidP="00277A0A">
      <w:pPr>
        <w:pStyle w:val="NormalWeb"/>
        <w:rPr>
          <w:rFonts w:asciiTheme="majorHAnsi" w:hAnsiTheme="majorHAnsi"/>
          <w:color w:val="000000"/>
        </w:rPr>
      </w:pPr>
      <w:r>
        <w:rPr>
          <w:rFonts w:asciiTheme="majorHAnsi" w:hAnsiTheme="majorHAnsi"/>
          <w:color w:val="000000"/>
        </w:rPr>
        <w:t xml:space="preserve">Pour conclure, </w:t>
      </w:r>
      <w:r w:rsidRPr="003C1EC4">
        <w:rPr>
          <w:rFonts w:asciiTheme="majorHAnsi" w:hAnsiTheme="majorHAnsi"/>
          <w:color w:val="000000"/>
        </w:rPr>
        <w:t xml:space="preserve">si dans l’industrie pharmaceutique la valeur dépend fortement du succès des essais cliniques, on retrouve des mécanismes similaires dans d’autres secteurs stratégiques comme la technologie, l’aéronautique ou encore la transition énergétique. Dans le secteur des semi-conducteurs, par exemple, la capacité à développer une nouvelle génération de puces conditionne directement les perspectives de croissance et donc la valorisation boursière. De même, dans l’industrie automobile, les investissements en R&amp;D liés aux véhicules électriques ou à l’intelligence artificielle influencent fortement les anticipations des marchés financiers. Enfin, dans le secteur des énergies renouvelables, l’innovation technologique permet d’améliorer les rendements, de réduire les coûts et d’accroître la compétitivité, ce qui impacte directement la capitalisation des entreprises concernées. </w:t>
      </w:r>
    </w:p>
    <w:p w14:paraId="76782A0F" w14:textId="77777777" w:rsidR="00277A0A" w:rsidRPr="003C1EC4" w:rsidRDefault="00277A0A" w:rsidP="00277A0A">
      <w:pPr>
        <w:spacing w:after="0"/>
        <w:rPr>
          <w:rFonts w:asciiTheme="majorHAnsi" w:hAnsiTheme="majorHAnsi"/>
        </w:rPr>
      </w:pPr>
      <w:r w:rsidRPr="003C1EC4">
        <w:rPr>
          <w:rFonts w:asciiTheme="majorHAnsi" w:hAnsiTheme="majorHAnsi"/>
          <w:color w:val="000000"/>
        </w:rPr>
        <w:t>Cette analyse ouvre donc sur une question plus large : dans un contexte d’économie mondialisée fondée sur la connaissance, la R&amp;D est-elle devenue le principal déterminant de la création de valeur à long terme pour les entreprises cotées ? Autrement dit, assiste-t-on à un déplacement durable de la valeur vers les actifs immatériels et le capital intellectuel, au détriment des actifs physiques traditionnels ? Cette perspective permet d’inscrire le cas de Sanofi dans une dynamique plus globale de transformation structurelle des marchés financiers internationaux.</w:t>
      </w:r>
    </w:p>
    <w:p w14:paraId="5A1650C4" w14:textId="77777777" w:rsidR="00277A0A" w:rsidRPr="00277A0A" w:rsidRDefault="00277A0A" w:rsidP="00277A0A">
      <w:pPr>
        <w:pStyle w:val="NormalWeb"/>
        <w:rPr>
          <w:rFonts w:asciiTheme="majorHAnsi" w:hAnsiTheme="majorHAnsi"/>
          <w:color w:val="000000"/>
        </w:rPr>
      </w:pPr>
    </w:p>
    <w:p w14:paraId="50D75C7C" w14:textId="77777777" w:rsidR="00852AA8" w:rsidRPr="00277A0A" w:rsidRDefault="00852AA8" w:rsidP="00A86A90">
      <w:pPr>
        <w:pStyle w:val="NormalWeb"/>
        <w:rPr>
          <w:rFonts w:asciiTheme="majorHAnsi" w:hAnsiTheme="majorHAnsi"/>
          <w:color w:val="000000"/>
        </w:rPr>
      </w:pPr>
    </w:p>
    <w:p w14:paraId="3CA3401E" w14:textId="10ADE4DD" w:rsidR="00852AA8" w:rsidRPr="00277A0A" w:rsidRDefault="00852AA8" w:rsidP="00A86A90">
      <w:pPr>
        <w:pStyle w:val="NormalWeb"/>
        <w:rPr>
          <w:rFonts w:asciiTheme="majorHAnsi" w:hAnsiTheme="majorHAnsi"/>
          <w:color w:val="000000"/>
        </w:rPr>
      </w:pPr>
    </w:p>
    <w:p w14:paraId="0B29B556" w14:textId="77777777" w:rsidR="00A86A90" w:rsidRPr="00277A0A" w:rsidRDefault="00A86A90" w:rsidP="003905A5">
      <w:pPr>
        <w:rPr>
          <w:rFonts w:asciiTheme="majorHAnsi" w:hAnsiTheme="majorHAnsi"/>
        </w:rPr>
      </w:pPr>
    </w:p>
    <w:sectPr w:rsidR="00A86A90" w:rsidRPr="00277A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36A"/>
    <w:multiLevelType w:val="multilevel"/>
    <w:tmpl w:val="481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D1F13"/>
    <w:multiLevelType w:val="hybridMultilevel"/>
    <w:tmpl w:val="8E48CEC8"/>
    <w:lvl w:ilvl="0" w:tplc="4FD403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0C3620F"/>
    <w:multiLevelType w:val="multilevel"/>
    <w:tmpl w:val="282C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71E74"/>
    <w:multiLevelType w:val="multilevel"/>
    <w:tmpl w:val="0DA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55607">
    <w:abstractNumId w:val="3"/>
  </w:num>
  <w:num w:numId="2" w16cid:durableId="607472063">
    <w:abstractNumId w:val="2"/>
  </w:num>
  <w:num w:numId="3" w16cid:durableId="1229271429">
    <w:abstractNumId w:val="0"/>
  </w:num>
  <w:num w:numId="4" w16cid:durableId="659578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A5"/>
    <w:rsid w:val="000D0325"/>
    <w:rsid w:val="00277A0A"/>
    <w:rsid w:val="0034378D"/>
    <w:rsid w:val="003905A5"/>
    <w:rsid w:val="00544D86"/>
    <w:rsid w:val="0071612D"/>
    <w:rsid w:val="00852AA8"/>
    <w:rsid w:val="00A86A90"/>
    <w:rsid w:val="00B37EB6"/>
    <w:rsid w:val="00DB6532"/>
    <w:rsid w:val="00F167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F2A06F7"/>
  <w15:chartTrackingRefBased/>
  <w15:docId w15:val="{7B3E7092-C654-284A-96FF-AB54A7DE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0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90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05A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05A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05A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05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05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05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05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05A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905A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05A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05A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05A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05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05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05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05A5"/>
    <w:rPr>
      <w:rFonts w:eastAsiaTheme="majorEastAsia" w:cstheme="majorBidi"/>
      <w:color w:val="272727" w:themeColor="text1" w:themeTint="D8"/>
    </w:rPr>
  </w:style>
  <w:style w:type="paragraph" w:styleId="Titre">
    <w:name w:val="Title"/>
    <w:basedOn w:val="Normal"/>
    <w:next w:val="Normal"/>
    <w:link w:val="TitreCar"/>
    <w:uiPriority w:val="10"/>
    <w:qFormat/>
    <w:rsid w:val="00390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05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05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05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05A5"/>
    <w:pPr>
      <w:spacing w:before="160"/>
      <w:jc w:val="center"/>
    </w:pPr>
    <w:rPr>
      <w:i/>
      <w:iCs/>
      <w:color w:val="404040" w:themeColor="text1" w:themeTint="BF"/>
    </w:rPr>
  </w:style>
  <w:style w:type="character" w:customStyle="1" w:styleId="CitationCar">
    <w:name w:val="Citation Car"/>
    <w:basedOn w:val="Policepardfaut"/>
    <w:link w:val="Citation"/>
    <w:uiPriority w:val="29"/>
    <w:rsid w:val="003905A5"/>
    <w:rPr>
      <w:i/>
      <w:iCs/>
      <w:color w:val="404040" w:themeColor="text1" w:themeTint="BF"/>
    </w:rPr>
  </w:style>
  <w:style w:type="paragraph" w:styleId="Paragraphedeliste">
    <w:name w:val="List Paragraph"/>
    <w:basedOn w:val="Normal"/>
    <w:uiPriority w:val="34"/>
    <w:qFormat/>
    <w:rsid w:val="003905A5"/>
    <w:pPr>
      <w:ind w:left="720"/>
      <w:contextualSpacing/>
    </w:pPr>
  </w:style>
  <w:style w:type="character" w:styleId="Accentuationintense">
    <w:name w:val="Intense Emphasis"/>
    <w:basedOn w:val="Policepardfaut"/>
    <w:uiPriority w:val="21"/>
    <w:qFormat/>
    <w:rsid w:val="003905A5"/>
    <w:rPr>
      <w:i/>
      <w:iCs/>
      <w:color w:val="0F4761" w:themeColor="accent1" w:themeShade="BF"/>
    </w:rPr>
  </w:style>
  <w:style w:type="paragraph" w:styleId="Citationintense">
    <w:name w:val="Intense Quote"/>
    <w:basedOn w:val="Normal"/>
    <w:next w:val="Normal"/>
    <w:link w:val="CitationintenseCar"/>
    <w:uiPriority w:val="30"/>
    <w:qFormat/>
    <w:rsid w:val="00390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05A5"/>
    <w:rPr>
      <w:i/>
      <w:iCs/>
      <w:color w:val="0F4761" w:themeColor="accent1" w:themeShade="BF"/>
    </w:rPr>
  </w:style>
  <w:style w:type="character" w:styleId="Rfrenceintense">
    <w:name w:val="Intense Reference"/>
    <w:basedOn w:val="Policepardfaut"/>
    <w:uiPriority w:val="32"/>
    <w:qFormat/>
    <w:rsid w:val="003905A5"/>
    <w:rPr>
      <w:b/>
      <w:bCs/>
      <w:smallCaps/>
      <w:color w:val="0F4761" w:themeColor="accent1" w:themeShade="BF"/>
      <w:spacing w:val="5"/>
    </w:rPr>
  </w:style>
  <w:style w:type="paragraph" w:styleId="NormalWeb">
    <w:name w:val="Normal (Web)"/>
    <w:basedOn w:val="Normal"/>
    <w:uiPriority w:val="99"/>
    <w:unhideWhenUsed/>
    <w:rsid w:val="003905A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3905A5"/>
  </w:style>
  <w:style w:type="character" w:styleId="lev">
    <w:name w:val="Strong"/>
    <w:basedOn w:val="Policepardfaut"/>
    <w:uiPriority w:val="22"/>
    <w:qFormat/>
    <w:rsid w:val="003905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2055</Words>
  <Characters>11308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Salome Vagner</dc:creator>
  <cp:keywords/>
  <dc:description/>
  <cp:lastModifiedBy>Titouan Legrand</cp:lastModifiedBy>
  <cp:revision>2</cp:revision>
  <dcterms:created xsi:type="dcterms:W3CDTF">2026-02-20T08:26:00Z</dcterms:created>
  <dcterms:modified xsi:type="dcterms:W3CDTF">2026-02-20T08:26:00Z</dcterms:modified>
</cp:coreProperties>
</file>