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【黃金劍盾週報 Combine】W28 — 雙交易員觀點整合（Style C）</w:t>
      </w:r>
    </w:p>
    <w:p>
      <w:r>
        <w:t>審核日期：2026-07-11（週日）｜交易員A＝Gemini（重新讀取版，doc mtime 07-11 11:22）｜交易員B＝Claude（獨立版，本次新產出）</w:t>
      </w:r>
    </w:p>
    <w:p>
      <w:pPr>
        <w:pStyle w:val="Heading2"/>
      </w:pPr>
      <w:r>
        <w:t>一、報告說明</w:t>
      </w:r>
    </w:p>
    <w:p>
      <w:r>
        <w:t>本次為W28週日合併審核。Gemini本週對gdoc做了實質更新（非沿用），主劇本機率架構出現顯著變化：原本以「劇本一(多頭延續)60%」為主情境的舊版本，已被新版本的「劇本二(區間震盪)60%」取代，且新版未再對劇本一/劇本三附具體數字。Claude獨立版本次以最新CSV(截至07-10/07-11)重新計算全部技術指標與SMC，並發現一項重要落差：日常「請分析」流程中反覆引用的「4,097關鍵4H下軌支撐」，用本次最新資料重算後實際為4,049.54，兩者相差47.5pts，應是舊快照未隨資料更新，本次已在關鍵位表格中更正並註記。</w:t>
      </w:r>
    </w:p>
    <w:p>
      <w:pPr>
        <w:pStyle w:val="Heading2"/>
      </w:pPr>
      <w:r>
        <w:t>二、宏觀環境摘要（Macro Dashboard，07-10 22:07即時讀值，週末休市沿用）</w:t>
      </w:r>
    </w:p>
    <w:p>
      <w:r>
        <w:t>Macro Score：WAIT｜Real Rate 2.323↗｜US10Y 4.553↗｜DXY 100.947↗｜VIX 15.550↘｜GVZ 24.710(🔥Extreme)｜XAU(4H) -2.575</w:t>
      </w:r>
    </w:p>
    <w:p>
      <w:r>
        <w:t>宏觀結論一句話：宏觀2/6附近（WAIT）：實質利率與美元同步走高構成逆風，GVZ處於Extreme區間，S1不執行、S2縮倉50%，本週策略執行本應更保守，與S1訊號本週觸SL的結果互相印證。</w:t>
      </w:r>
    </w:p>
    <w:p>
      <w:pPr>
        <w:pStyle w:val="Heading2"/>
      </w:pPr>
      <w:r>
        <w:t>三、兩份報告概覽表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交易員</w:t>
            </w:r>
          </w:p>
        </w:tc>
        <w:tc>
          <w:tcPr>
            <w:tcW w:type="dxa" w:w="2880"/>
          </w:tcPr>
          <w:p>
            <w:r>
              <w:t>日期/版本</w:t>
            </w:r>
          </w:p>
        </w:tc>
        <w:tc>
          <w:tcPr>
            <w:tcW w:type="dxa" w:w="2880"/>
          </w:tcPr>
          <w:p>
            <w:r>
              <w:t>主情境</w:t>
            </w:r>
          </w:p>
        </w:tc>
      </w:tr>
      <w:tr>
        <w:tc>
          <w:tcPr>
            <w:tcW w:type="dxa" w:w="2880"/>
          </w:tcPr>
          <w:p>
            <w:r>
              <w:t>A（Gemini）</w:t>
            </w:r>
          </w:p>
        </w:tc>
        <w:tc>
          <w:tcPr>
            <w:tcW w:type="dxa" w:w="2880"/>
          </w:tcPr>
          <w:p>
            <w:r>
              <w:t>2026-07-11 11:22更新版</w:t>
            </w:r>
          </w:p>
        </w:tc>
        <w:tc>
          <w:tcPr>
            <w:tcW w:type="dxa" w:w="2880"/>
          </w:tcPr>
          <w:p>
            <w:r>
              <w:t>劇本二(區間震盪) 60%，劇本一/三未附數字</w:t>
            </w:r>
          </w:p>
        </w:tc>
      </w:tr>
      <w:tr>
        <w:tc>
          <w:tcPr>
            <w:tcW w:type="dxa" w:w="2880"/>
          </w:tcPr>
          <w:p>
            <w:r>
              <w:t>B（Claude）</w:t>
            </w:r>
          </w:p>
        </w:tc>
        <w:tc>
          <w:tcPr>
            <w:tcW w:type="dxa" w:w="2880"/>
          </w:tcPr>
          <w:p>
            <w:r>
              <w:t>2026-07-11 獨立新產出</w:t>
            </w:r>
          </w:p>
        </w:tc>
        <w:tc>
          <w:tcPr>
            <w:tcW w:type="dxa" w:w="2880"/>
          </w:tcPr>
          <w:p>
            <w:r>
              <w:t>劇本一25% / 劇本二55% / 劇本三20%</w:t>
            </w:r>
          </w:p>
        </w:tc>
      </w:tr>
    </w:tbl>
    <w:p>
      <w:pPr>
        <w:pStyle w:val="Heading2"/>
      </w:pPr>
      <w:r>
        <w:t>四、交易員A（Gemini）核心觀點</w:t>
      </w:r>
    </w:p>
    <w:p>
      <w:r>
        <w:t>主情境：區間震盪60%，4,050~4,150來回；關鍵位：Daily EMA50 4,324.06/Daily Basis 4,136.00/H4 Basis 4,102.20/H4 Lower 4,049.54/W27低點3,942.71/Daily Lower 3,937.03；CFTC：機構避險放空、散戶雙退；S1 A+＝美盤突破4,136+AO翻綠；S2 A+＝貫穿4,049後錘頭。</w:t>
      </w:r>
    </w:p>
    <w:p>
      <w:pPr>
        <w:pStyle w:val="Heading2"/>
      </w:pPr>
      <w:r>
        <w:t>五、交易員B（Claude）核心觀點</w:t>
      </w:r>
    </w:p>
    <w:p>
      <w:r>
        <w:t>獨立驗證Gemini全部技術數值一致（BB/EMA/ATR誤差&lt;0.01%），額外執行SMC掃描（本週無SSL sweep）與CFTC png獨立核對（數字吻合，並補充Swap Dealers/Other Reportables兩類機構本週為觀望而非方向性表態）。獨立判斷：日線RSI(42.89)與4H RSI(68.23)背離，短線反彈未獲日線動能確認；本週S1新訊號(entry 4,127.73)已觸SL，是本週最具體的失敗突破證據；機率判斷傾向劇本二為主(55%)但保留較高的劇本三權重(20%)，因CFTC機構避險放空+訊號觸SL兩項證據同時指向下行風險不宜低估。</w:t>
      </w:r>
    </w:p>
    <w:p>
      <w:pPr>
        <w:pStyle w:val="Heading2"/>
      </w:pPr>
      <w:r>
        <w:t>六、共識與分歧對照表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共識/分歧</w:t>
            </w:r>
          </w:p>
        </w:tc>
        <w:tc>
          <w:tcPr>
            <w:tcW w:type="dxa" w:w="2880"/>
          </w:tcPr>
          <w:p>
            <w:r>
              <w:t>仲裁結論</w:t>
            </w:r>
          </w:p>
        </w:tc>
      </w:tr>
      <w:tr>
        <w:tc>
          <w:tcPr>
            <w:tcW w:type="dxa" w:w="2880"/>
          </w:tcPr>
          <w:p>
            <w:r>
              <w:t>主情境方向</w:t>
            </w:r>
          </w:p>
        </w:tc>
        <w:tc>
          <w:tcPr>
            <w:tcW w:type="dxa" w:w="2880"/>
          </w:tcPr>
          <w:p>
            <w:r>
              <w:t>共識：本週應以震盪為主，原多頭突破的樂觀情境需降溫</w:t>
            </w:r>
          </w:p>
        </w:tc>
        <w:tc>
          <w:tcPr>
            <w:tcW w:type="dxa" w:w="2880"/>
          </w:tcPr>
          <w:p>
            <w:r>
              <w:t>採納「震盪為主」共識</w:t>
            </w:r>
          </w:p>
        </w:tc>
      </w:tr>
      <w:tr>
        <w:tc>
          <w:tcPr>
            <w:tcW w:type="dxa" w:w="2880"/>
          </w:tcPr>
          <w:p>
            <w:r>
              <w:t>劇本機率架構</w:t>
            </w:r>
          </w:p>
        </w:tc>
        <w:tc>
          <w:tcPr>
            <w:tcW w:type="dxa" w:w="2880"/>
          </w:tcPr>
          <w:p>
            <w:r>
              <w:t>分歧：Gemini新版僅標劇本二60%，未給一/三；Claude給25/55/20</w:t>
            </w:r>
          </w:p>
        </w:tc>
        <w:tc>
          <w:tcPr>
            <w:tcW w:type="dxa" w:w="2880"/>
          </w:tcPr>
          <w:p>
            <w:r>
              <w:t>見下方「機率權重最終仲裁」，採Claude三分法架構，數字微調</w:t>
            </w:r>
          </w:p>
        </w:tc>
      </w:tr>
      <w:tr>
        <w:tc>
          <w:tcPr>
            <w:tcW w:type="dxa" w:w="2880"/>
          </w:tcPr>
          <w:p>
            <w:r>
              <w:t>4H下軌支撐位</w:t>
            </w:r>
          </w:p>
        </w:tc>
        <w:tc>
          <w:tcPr>
            <w:tcW w:type="dxa" w:w="2880"/>
          </w:tcPr>
          <w:p>
            <w:r>
              <w:t>分歧：日常分析引用4,097(舊值)，本次重算為4,049.54</w:t>
            </w:r>
          </w:p>
        </w:tc>
        <w:tc>
          <w:tcPr>
            <w:tcW w:type="dxa" w:w="2880"/>
          </w:tcPr>
          <w:p>
            <w:r>
              <w:t>以Claude重算值4,049.54為準，4,097視為過期快照</w:t>
            </w:r>
          </w:p>
        </w:tc>
      </w:tr>
      <w:tr>
        <w:tc>
          <w:tcPr>
            <w:tcW w:type="dxa" w:w="2880"/>
          </w:tcPr>
          <w:p>
            <w:r>
              <w:t>CFTC解讀</w:t>
            </w:r>
          </w:p>
        </w:tc>
        <w:tc>
          <w:tcPr>
            <w:tcW w:type="dxa" w:w="2880"/>
          </w:tcPr>
          <w:p>
            <w:r>
              <w:t>共識：機構避險放空、散戶雙退，方向一致</w:t>
            </w:r>
          </w:p>
        </w:tc>
        <w:tc>
          <w:tcPr>
            <w:tcW w:type="dxa" w:w="2880"/>
          </w:tcPr>
          <w:p>
            <w:r>
              <w:t>無分歧，直接採納</w:t>
            </w:r>
          </w:p>
        </w:tc>
      </w:tr>
      <w:tr>
        <w:tc>
          <w:tcPr>
            <w:tcW w:type="dxa" w:w="2880"/>
          </w:tcPr>
          <w:p>
            <w:r>
              <w:t>S1/S2進場條件</w:t>
            </w:r>
          </w:p>
        </w:tc>
        <w:tc>
          <w:tcPr>
            <w:tcW w:type="dxa" w:w="2880"/>
          </w:tcPr>
          <w:p>
            <w:r>
              <w:t>共識：兩版本S1 A+/S2 A+定義幾乎相同</w:t>
            </w:r>
          </w:p>
        </w:tc>
        <w:tc>
          <w:tcPr>
            <w:tcW w:type="dxa" w:w="2880"/>
          </w:tcPr>
          <w:p>
            <w:r>
              <w:t>直接採納，無需仲裁</w:t>
            </w:r>
          </w:p>
        </w:tc>
      </w:tr>
    </w:tbl>
    <w:p>
      <w:pPr>
        <w:pStyle w:val="Heading2"/>
      </w:pPr>
      <w:r>
        <w:t>七、主管審核意見（Style C）</w:t>
      </w:r>
    </w:p>
    <w:p>
      <w:pPr>
        <w:pStyle w:val="Heading3"/>
      </w:pPr>
      <w:r>
        <w:t>（一）報告說明</w:t>
      </w:r>
    </w:p>
    <w:p>
      <w:r>
        <w:t>本次兩份報告在方向上高度一致（震盪為主、多頭降溫），分歧主要在機率架構的精細度與一個過期支撐位數字，皆為可仲裁的技術性落差，不影響整體結論的可信度。</w:t>
      </w:r>
    </w:p>
    <w:p>
      <w:pPr>
        <w:pStyle w:val="Heading3"/>
      </w:pPr>
      <w:r>
        <w:t>（二）共識事項</w:t>
      </w:r>
    </w:p>
    <w:p>
      <w:r>
        <w:t>1. 本週主情境為區間震盪，原本的多頭延續樂觀情境需要降溫。</w:t>
        <w:br/>
        <w:t>2. CFTC籌碼結構（機構避險放空、散戶雙退）支持震盪/謹慎偏空的判斷。</w:t>
        <w:br/>
        <w:t>3. S1/S2進場條件定義一致，無需修改既有紀律規則。</w:t>
      </w:r>
    </w:p>
    <w:p>
      <w:pPr>
        <w:pStyle w:val="Heading3"/>
      </w:pPr>
      <w:r>
        <w:t>（三）分歧與決議</w:t>
      </w:r>
    </w:p>
    <w:p>
      <w:r>
        <w:t>機率權重最終仲裁：Gemini新版將主情境從「劇本一60%」直接置換為「劇本二60%」，未提供三劇本完整分配，力道上比先前Combine建議的「劇本一下修至45-50%」更大更急——等於直接棄用多頭情境的主導地位。Claude的獨立判斷認為這個轉向方向正確，但「完全不給劇本一/三數字」略嫌無法量化比較；同時本週實際發生的兩項具體證據（S1新訊號本週五確認觸SL、CFTC機構避險放空力度加大）顯示下行風險也不宜只放在震盪情境的次要位置。</w:t>
        <w:br/>
        <w:br/>
        <w:t>**最終合併機率權重（主管裁決）：劇本一(多頭爆發) 20% ／劇本二(區間震盪) 55% ／劇本三(空頭回調) 25%**</w:t>
        <w:br/>
        <w:br/>
        <w:t>裁決理由：採納Gemini「震盪為主」的方向性轉變（震盪55%，較Claude獨立版的55%一致，較Gemini隱含的60%略保守以保留量化彈性）；劇本一由Claude的25%再下修至20%，因為本週已有S1觸SL的具體失敗證據，樂觀情境的證據基礎比上週更薄弱；劇本三由Claude的20%上修至25%，因CFTC機構避險放空與觸SL事件是實質發生的下行證據而非單純情緒，理應獲得比純技術背離更高的權重。整體而言，本次機率重心比先前「45-50%下修建議」走得更遠——不只是把劇本一打折，而是把劇本三的權重也一併提高，反映本週實際發生的訊號失敗事件。</w:t>
      </w:r>
    </w:p>
    <w:p>
      <w:pPr>
        <w:pStyle w:val="Heading3"/>
      </w:pPr>
      <w:r>
        <w:t>（四）操作決議表格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決議項目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本週偏向</w:t>
            </w:r>
          </w:p>
        </w:tc>
        <w:tc>
          <w:tcPr>
            <w:tcW w:type="dxa" w:w="4320"/>
          </w:tcPr>
          <w:p>
            <w:r>
              <w:t>空手觀望，暫停新倉，等待更乾淨的A+訊號</w:t>
            </w:r>
          </w:p>
        </w:tc>
      </w:tr>
      <w:tr>
        <w:tc>
          <w:tcPr>
            <w:tcW w:type="dxa" w:w="4320"/>
          </w:tcPr>
          <w:p>
            <w:r>
              <w:t>S1觸發條件</w:t>
            </w:r>
          </w:p>
        </w:tc>
        <w:tc>
          <w:tcPr>
            <w:tcW w:type="dxa" w:w="4320"/>
          </w:tcPr>
          <w:p>
            <w:r>
              <w:t>美盤帶量站穩4,136以上，AO翻綠，Fast EMA3穿越Basis，缺一不可</w:t>
            </w:r>
          </w:p>
        </w:tc>
      </w:tr>
      <w:tr>
        <w:tc>
          <w:tcPr>
            <w:tcW w:type="dxa" w:w="4320"/>
          </w:tcPr>
          <w:p>
            <w:r>
              <w:t>S2 A+進場區</w:t>
            </w:r>
          </w:p>
        </w:tc>
        <w:tc>
          <w:tcPr>
            <w:tcW w:type="dxa" w:w="4320"/>
          </w:tcPr>
          <w:p>
            <w:r>
              <w:t>4,049.54(重算後4H下軌)貫穿後錘頭反轉，或3,942.71~3,937.03深度支撐錘頭</w:t>
            </w:r>
          </w:p>
        </w:tc>
      </w:tr>
      <w:tr>
        <w:tc>
          <w:tcPr>
            <w:tcW w:type="dxa" w:w="4320"/>
          </w:tcPr>
          <w:p>
            <w:r>
              <w:t>風控</w:t>
            </w:r>
          </w:p>
        </w:tc>
        <w:tc>
          <w:tcPr>
            <w:tcW w:type="dxa" w:w="4320"/>
          </w:tcPr>
          <w:p>
            <w:r>
              <w:t>每筆風險0.75%單一策略，S1+S2同時持倉合計上限1.5%，H2雙倉鐵律強制執行</w:t>
            </w:r>
          </w:p>
        </w:tc>
      </w:tr>
      <w:tr>
        <w:tc>
          <w:tcPr>
            <w:tcW w:type="dxa" w:w="4320"/>
          </w:tcPr>
          <w:p>
            <w:r>
              <w:t>關鍵觀察位更正</w:t>
            </w:r>
          </w:p>
        </w:tc>
        <w:tc>
          <w:tcPr>
            <w:tcW w:type="dxa" w:w="4320"/>
          </w:tcPr>
          <w:p>
            <w:r>
              <w:t>日常分析請改用4,049.54取代已過期的4,097</w:t>
            </w:r>
          </w:p>
        </w:tc>
      </w:tr>
    </w:tbl>
    <w:p>
      <w:pPr>
        <w:pStyle w:val="Heading3"/>
      </w:pPr>
      <w:r>
        <w:t>（五）下次審核</w:t>
      </w:r>
    </w:p>
    <w:p>
      <w:r>
        <w:t>下次週報：W29（週日或視盤勢提前於週三加開），重點觀察是否跌破4,102/4,049.54，或站穩4,136以上確認突破。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