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Тукаев</w:t>
      </w:r>
      <w:r>
        <w:t xml:space="preserve"> </w:t>
      </w:r>
      <w:r>
        <w:t xml:space="preserve">Тимур</w:t>
      </w:r>
      <w:r>
        <w:t xml:space="preserve"> </w:t>
      </w:r>
      <w:r>
        <w:t xml:space="preserve">Ильшатович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82506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40791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47595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956442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748456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918155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131889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67725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614228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805651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944893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710137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499168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p>
      <w:pPr>
        <w:pStyle w:val="BodyText"/>
      </w:pPr>
      <w:r>
        <w:t xml:space="preserve">Также размещаю код программы в отчете.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call quit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11508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Тукаев Тимур Ильшатович НММбд-03-23</dc:creator>
  <dc:language>ru-RU</dc:language>
  <cp:keywords/>
  <dcterms:created xsi:type="dcterms:W3CDTF">2023-11-01T07:42:31Z</dcterms:created>
  <dcterms:modified xsi:type="dcterms:W3CDTF">2023-11-01T07:42:31Z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