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30" w:name="Xd4cbe80031f78288f6bd7cbd1a966341008c637"/>
    <w:p>
      <w:pPr>
        <w:pStyle w:val="Heading1"/>
      </w:pPr>
      <w:r>
        <w:t xml:space="preserve">Maternal International Work Migration and Adult Outcomes among Left-Behind Children in Indonesia</w:t>
      </w:r>
    </w:p>
    <w:p>
      <w:pPr>
        <w:pStyle w:val="FirstParagraph"/>
      </w:pPr>
      <w:r>
        <w:rPr>
          <w:i/>
          <w:iCs/>
        </w:rPr>
        <w:t xml:space="preserve">Anonymised working-paper draft — Riset 1 first-pass release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studies the association between verified mother-led international</w:t>
      </w:r>
      <w:r>
        <w:t xml:space="preserve"> </w:t>
      </w:r>
      <w:r>
        <w:t xml:space="preserve">work migration after the first wave of the Indonesia Family Life Survey and</w:t>
      </w:r>
      <w:r>
        <w:t xml:space="preserve"> </w:t>
      </w:r>
      <w:r>
        <w:t xml:space="preserve">adult outcomes among children who remained in the origin household. The</w:t>
      </w:r>
      <w:r>
        <w:t xml:space="preserve"> </w:t>
      </w:r>
      <w:r>
        <w:t xml:space="preserve">analysis defines exposure narrowly: the linked mother must have a verified</w:t>
      </w:r>
      <w:r>
        <w:t xml:space="preserve"> </w:t>
      </w:r>
      <w:r>
        <w:t xml:space="preserve">work-related move to a country outside Indonesia, the child must remain in the</w:t>
      </w:r>
      <w:r>
        <w:t xml:space="preserve"> </w:t>
      </w:r>
      <w:r>
        <w:t xml:space="preserve">origin household at the event wave, and the baseline parent and household</w:t>
      </w:r>
      <w:r>
        <w:t xml:space="preserve"> </w:t>
      </w:r>
      <w:r>
        <w:t xml:space="preserve">links must pass quality checks. The primary sample contains 3,847 W1 children</w:t>
      </w:r>
      <w:r>
        <w:t xml:space="preserve"> </w:t>
      </w:r>
      <w:r>
        <w:t xml:space="preserve">aged 0–12 who are linked to W5 adult outcomes, including 25 treated and 3,822</w:t>
      </w:r>
      <w:r>
        <w:t xml:space="preserve"> </w:t>
      </w:r>
      <w:r>
        <w:t xml:space="preserve">controls. We estimate unweighted adjusted associations with W1 controls and</w:t>
      </w:r>
      <w:r>
        <w:t xml:space="preserve"> </w:t>
      </w:r>
      <w:r>
        <w:t xml:space="preserve">origin-household clustered robust standard errors. The largest first-pass</w:t>
      </w:r>
      <w:r>
        <w:t xml:space="preserve"> </w:t>
      </w:r>
      <w:r>
        <w:t xml:space="preserve">signals are lower college attainment and higher good self-rated health among</w:t>
      </w:r>
      <w:r>
        <w:t xml:space="preserve"> </w:t>
      </w:r>
      <w:r>
        <w:t xml:space="preserve">treated observations; these are associations, not causal effects. Outcome</w:t>
      </w:r>
      <w:r>
        <w:t xml:space="preserve"> </w:t>
      </w:r>
      <w:r>
        <w:t xml:space="preserve">support, the small treated cell, selective W5 follow-up, and unresolved survey</w:t>
      </w:r>
      <w:r>
        <w:t xml:space="preserve"> </w:t>
      </w:r>
      <w:r>
        <w:t xml:space="preserve">design and source-release metadata limit inference. A combined</w:t>
      </w:r>
      <w:r>
        <w:t xml:space="preserve"> </w:t>
      </w:r>
      <w:r>
        <w:t xml:space="preserve">multidimensional index is not constructed in this release.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international migration; left-behind children; adult outcomes;</w:t>
      </w:r>
      <w:r>
        <w:t xml:space="preserve"> </w:t>
      </w:r>
      <w:r>
        <w:t xml:space="preserve">Indonesia; longitudinal survey; social welfare</w:t>
      </w:r>
    </w:p>
    <w:bookmarkEnd w:id="9"/>
    <w:bookmarkStart w:id="10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International work migration can change the resources, care arrangements, and</w:t>
      </w:r>
      <w:r>
        <w:t xml:space="preserve"> </w:t>
      </w:r>
      <w:r>
        <w:t xml:space="preserve">daily environments experienced by children who remain in the origin household.</w:t>
      </w:r>
      <w:r>
        <w:t xml:space="preserve"> </w:t>
      </w:r>
      <w:r>
        <w:t xml:space="preserve">Those channels may matter long after the migration episode. The empirical</w:t>
      </w:r>
      <w:r>
        <w:t xml:space="preserve"> </w:t>
      </w:r>
      <w:r>
        <w:t xml:space="preserve">challenge is that migration is not randomly assigned: households that send a</w:t>
      </w:r>
      <w:r>
        <w:t xml:space="preserve"> </w:t>
      </w:r>
      <w:r>
        <w:t xml:space="preserve">mother abroad may differ from other households before the move, and a child’s</w:t>
      </w:r>
      <w:r>
        <w:t xml:space="preserve"> </w:t>
      </w:r>
      <w:r>
        <w:t xml:space="preserve">continued residence or later survey observation may also be selective.</w:t>
      </w:r>
    </w:p>
    <w:p>
      <w:pPr>
        <w:pStyle w:val="BodyText"/>
      </w:pPr>
      <w:r>
        <w:t xml:space="preserve">This paper asks a deliberately bounded question: within a quality-controlled</w:t>
      </w:r>
      <w:r>
        <w:t xml:space="preserve"> </w:t>
      </w:r>
      <w:r>
        <w:t xml:space="preserve">longitudinal sample of Indonesian children, how are verified mother-led</w:t>
      </w:r>
      <w:r>
        <w:t xml:space="preserve"> </w:t>
      </w:r>
      <w:r>
        <w:t xml:space="preserve">international work migration episodes after the first IFLS wave associated</w:t>
      </w:r>
      <w:r>
        <w:t xml:space="preserve"> </w:t>
      </w:r>
      <w:r>
        <w:t xml:space="preserve">with separate adult education, labour, health, and social/behavioural outcomes</w:t>
      </w:r>
      <w:r>
        <w:t xml:space="preserve"> </w:t>
      </w:r>
      <w:r>
        <w:t xml:space="preserve">observed in W5? The paper does not claim to identify a causal migration effect.</w:t>
      </w:r>
      <w:r>
        <w:t xml:space="preserve"> </w:t>
      </w:r>
      <w:r>
        <w:t xml:space="preserve">It reports a transparent first-pass association that can be audited before a</w:t>
      </w:r>
      <w:r>
        <w:t xml:space="preserve"> </w:t>
      </w:r>
      <w:r>
        <w:t xml:space="preserve">stronger identification strategy is attempted.</w:t>
      </w:r>
    </w:p>
    <w:p>
      <w:pPr>
        <w:pStyle w:val="BodyText"/>
      </w:pPr>
      <w:r>
        <w:t xml:space="preserve">The release makes three choices that narrow the question. First, treatment is</w:t>
      </w:r>
      <w:r>
        <w:t xml:space="preserve"> </w:t>
      </w:r>
      <w:r>
        <w:t xml:space="preserve">limited to the child’s linked mother and to a destination country that is</w:t>
      </w:r>
      <w:r>
        <w:t xml:space="preserve"> </w:t>
      </w:r>
      <w:r>
        <w:t xml:space="preserve">verified as outside Indonesia under the wave-specific source rules. Second,</w:t>
      </w:r>
      <w:r>
        <w:t xml:space="preserve"> </w:t>
      </w:r>
      <w:r>
        <w:t xml:space="preserve">children with ambiguous parent links, contaminated origin-household status, or</w:t>
      </w:r>
      <w:r>
        <w:t xml:space="preserve"> </w:t>
      </w:r>
      <w:r>
        <w:t xml:space="preserve">incompatible whole-household movement are not silently assigned to the</w:t>
      </w:r>
      <w:r>
        <w:t xml:space="preserve"> </w:t>
      </w:r>
      <w:r>
        <w:t xml:space="preserve">control group. Third, adult outcomes are kept as separate measures. The</w:t>
      </w:r>
      <w:r>
        <w:t xml:space="preserve"> </w:t>
      </w:r>
      <w:r>
        <w:t xml:space="preserve">concept note proposed a multidimensional index, but the current files do not</w:t>
      </w:r>
      <w:r>
        <w:t xml:space="preserve"> </w:t>
      </w:r>
      <w:r>
        <w:t xml:space="preserve">support a validated common index across the relevant outcome modules.</w:t>
      </w:r>
    </w:p>
    <w:bookmarkEnd w:id="10"/>
    <w:bookmarkStart w:id="12" w:name="Xc35801437e32d5e38faa49b170e2e49cc00b476"/>
    <w:p>
      <w:pPr>
        <w:pStyle w:val="Heading2"/>
      </w:pPr>
      <w:r>
        <w:t xml:space="preserve">2. Data and study population</w:t>
      </w:r>
    </w:p>
    <w:p>
      <w:pPr>
        <w:pStyle w:val="FirstParagraph"/>
      </w:pPr>
      <w:r>
        <w:t xml:space="preserve">The Indonesia Family Life Survey (IFLS) is a longitudinal household survey</w:t>
      </w:r>
      <w:r>
        <w:t xml:space="preserve"> </w:t>
      </w:r>
      <w:r>
        <w:t xml:space="preserve">covering multiple survey waves and a large Indonesian population. The official</w:t>
      </w:r>
      <w:r>
        <w:t xml:space="preserve"> </w:t>
      </w:r>
      <w:r>
        <w:t xml:space="preserve">survey page documents the longitudinal design, geographic coverage, and wave</w:t>
      </w:r>
      <w:r>
        <w:t xml:space="preserve"> </w:t>
      </w:r>
      <w:r>
        <w:t xml:space="preserve">history; the IFLS5 field report provides additional field documentation</w:t>
      </w:r>
      <w:r>
        <w:t xml:space="preserve"> </w:t>
      </w:r>
      <w:r>
        <w:t xml:space="preserve">(RAND, 2016; RAND, n.d.). This first-pass analysis uses the local IFLS files</w:t>
      </w:r>
      <w:r>
        <w:t xml:space="preserve"> </w:t>
      </w:r>
      <w:r>
        <w:t xml:space="preserve">and preserves the original source directory. The exact official source-release</w:t>
      </w:r>
      <w:r>
        <w:t xml:space="preserve"> </w:t>
      </w:r>
      <w:r>
        <w:t xml:space="preserve">identifier is recorded as an open provenance item in the project manifest and</w:t>
      </w:r>
      <w:r>
        <w:t xml:space="preserve"> </w:t>
      </w:r>
      <w:r>
        <w:t xml:space="preserve">must be completed before public replication.</w:t>
      </w:r>
    </w:p>
    <w:p>
      <w:pPr>
        <w:pStyle w:val="BodyText"/>
      </w:pPr>
      <w:r>
        <w:t xml:space="preserve">The baseline cohort consists of W1 children aged 0–12. The primary frame</w:t>
      </w:r>
      <w:r>
        <w:t xml:space="preserve"> </w:t>
      </w:r>
      <w:r>
        <w:t xml:space="preserve">requires both W1 parent links to be valid, a clean W1 origin household, and</w:t>
      </w:r>
      <w:r>
        <w:t xml:space="preserve"> </w:t>
      </w:r>
      <w:r>
        <w:t xml:space="preserve">the necessary W5 linkage. The final common frame contains 3,847 observations:</w:t>
      </w:r>
      <w:r>
        <w:t xml:space="preserve"> </w:t>
      </w:r>
      <w:r>
        <w:t xml:space="preserve">25 treated observations and 3,822 controls. The number of observations and</w:t>
      </w:r>
      <w:r>
        <w:t xml:space="preserve"> </w:t>
      </w:r>
      <w:r>
        <w:t xml:space="preserve">treated cases varies by adult outcome because the model uses outcome-specific</w:t>
      </w:r>
      <w:r>
        <w:t xml:space="preserve"> </w:t>
      </w:r>
      <w:r>
        <w:t xml:space="preserve">listwise deletion.</w:t>
      </w:r>
    </w:p>
    <w:bookmarkStart w:id="11" w:name="table-1-r1-sample-flow-and-support"/>
    <w:p>
      <w:pPr>
        <w:pStyle w:val="Heading3"/>
      </w:pPr>
      <w:r>
        <w:t xml:space="preserve">Table 1. R1 sample flow and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child cohort aged 0–12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parents linked, clean origin, and W5 tracked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Mother post-W1 migration evidence 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treated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analysis frame before outcome-specific deletion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Treated / control in common analysis 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/ 3,822</w:t>
            </w:r>
          </w:p>
        </w:tc>
      </w:tr>
    </w:tbl>
    <w:p>
      <w:pPr>
        <w:pStyle w:val="BodyText"/>
      </w:pPr>
      <w:r>
        <w:t xml:space="preserve">The stage counts above are construction-flow counts. They should not be read</w:t>
      </w:r>
      <w:r>
        <w:t xml:space="preserve"> </w:t>
      </w:r>
      <w:r>
        <w:t xml:space="preserve">as national prevalence estimates.</w:t>
      </w:r>
    </w:p>
    <w:bookmarkEnd w:id="11"/>
    <w:bookmarkEnd w:id="12"/>
    <w:bookmarkStart w:id="16" w:name="Xcb1aa74c09da879e53b4f2c7b42c1b96f448cbe"/>
    <w:p>
      <w:pPr>
        <w:pStyle w:val="Heading2"/>
      </w:pPr>
      <w:r>
        <w:t xml:space="preserve">3. Exposure, outcomes, and empirical specification</w:t>
      </w:r>
    </w:p>
    <w:bookmarkStart w:id="13" w:name="X054cfc68a2b4bb09d0e967e9c3f17740ae9e57a"/>
    <w:p>
      <w:pPr>
        <w:pStyle w:val="Heading3"/>
      </w:pPr>
      <w:r>
        <w:t xml:space="preserve">3.1 Treatment definition</w:t>
      </w:r>
    </w:p>
    <w:p>
      <w:pPr>
        <w:pStyle w:val="FirstParagraph"/>
      </w:pPr>
      <w:r>
        <w:t xml:space="preserve">An observation is treated only when all of the following conditions hold:</w:t>
      </w:r>
    </w:p>
    <w:p>
      <w:pPr>
        <w:pStyle w:val="Compact"/>
        <w:numPr>
          <w:ilvl w:val="0"/>
          <w:numId w:val="1001"/>
        </w:numPr>
      </w:pPr>
      <w:r>
        <w:t xml:space="preserve">the child belongs to the W1 age 0–12 cohort;</w:t>
      </w:r>
    </w:p>
    <w:p>
      <w:pPr>
        <w:pStyle w:val="Compact"/>
        <w:numPr>
          <w:ilvl w:val="0"/>
          <w:numId w:val="1001"/>
        </w:numPr>
      </w:pPr>
      <w:r>
        <w:t xml:space="preserve">both baseline parent links and the W1 origin household pass the quality</w:t>
      </w:r>
      <w:r>
        <w:t xml:space="preserve"> </w:t>
      </w:r>
      <w:r>
        <w:t xml:space="preserve">rules;</w:t>
      </w:r>
    </w:p>
    <w:p>
      <w:pPr>
        <w:pStyle w:val="Compact"/>
        <w:numPr>
          <w:ilvl w:val="0"/>
          <w:numId w:val="1001"/>
        </w:numPr>
      </w:pPr>
      <w:r>
        <w:t xml:space="preserve">the linked mother has an observed post-W1 migration episode or screen;</w:t>
      </w:r>
    </w:p>
    <w:p>
      <w:pPr>
        <w:pStyle w:val="Compact"/>
        <w:numPr>
          <w:ilvl w:val="0"/>
          <w:numId w:val="1001"/>
        </w:numPr>
      </w:pPr>
      <w:r>
        <w:t xml:space="preserve">the move has a verified work reason;</w:t>
      </w:r>
    </w:p>
    <w:p>
      <w:pPr>
        <w:pStyle w:val="Compact"/>
        <w:numPr>
          <w:ilvl w:val="0"/>
          <w:numId w:val="1001"/>
        </w:numPr>
      </w:pPr>
      <w:r>
        <w:t xml:space="preserve">the destination is verified as outside Indonesia under the relevant wave</w:t>
      </w:r>
      <w:r>
        <w:t xml:space="preserve"> </w:t>
      </w:r>
      <w:r>
        <w:t xml:space="preserve">rule;</w:t>
      </w:r>
    </w:p>
    <w:p>
      <w:pPr>
        <w:pStyle w:val="Compact"/>
        <w:numPr>
          <w:ilvl w:val="0"/>
          <w:numId w:val="1001"/>
        </w:numPr>
      </w:pPr>
      <w:r>
        <w:t xml:space="preserve">the move occurs after the W1 baseline window;</w:t>
      </w:r>
    </w:p>
    <w:p>
      <w:pPr>
        <w:pStyle w:val="Compact"/>
        <w:numPr>
          <w:ilvl w:val="0"/>
          <w:numId w:val="1001"/>
        </w:numPr>
      </w:pPr>
      <w:r>
        <w:t xml:space="preserve">the child remains in the origin household at the event wave; and</w:t>
      </w:r>
    </w:p>
    <w:p>
      <w:pPr>
        <w:pStyle w:val="Compact"/>
        <w:numPr>
          <w:ilvl w:val="0"/>
          <w:numId w:val="1001"/>
        </w:numPr>
      </w:pPr>
      <w:r>
        <w:t xml:space="preserve">there is no incompatible whole-household or child-moved evidence.</w:t>
      </w:r>
    </w:p>
    <w:p>
      <w:pPr>
        <w:pStyle w:val="FirstParagraph"/>
      </w:pPr>
      <w:r>
        <w:t xml:space="preserve">Domestic migration, father-only migration, any-parent migration without a</w:t>
      </w:r>
      <w:r>
        <w:t xml:space="preserve"> </w:t>
      </w:r>
      <w:r>
        <w:t xml:space="preserve">verified mother episode, unresolved country codes, commuting, death, and</w:t>
      </w:r>
      <w:r>
        <w:t xml:space="preserve"> </w:t>
      </w:r>
      <w:r>
        <w:t xml:space="preserve">non-work moves are not part of the primary treatment. Unresolved exposure is</w:t>
      </w:r>
      <w:r>
        <w:t xml:space="preserve"> </w:t>
      </w:r>
      <w:r>
        <w:t xml:space="preserve">kept as a separate status and is excluded from the primary frame rather than</w:t>
      </w:r>
      <w:r>
        <w:t xml:space="preserve"> </w:t>
      </w:r>
      <w:r>
        <w:t xml:space="preserve">forced into control.</w:t>
      </w:r>
    </w:p>
    <w:bookmarkEnd w:id="13"/>
    <w:bookmarkStart w:id="14" w:name="Xa7cbd054101e00dcc7597c931f0dfb6a04e1437"/>
    <w:p>
      <w:pPr>
        <w:pStyle w:val="Heading3"/>
      </w:pPr>
      <w:r>
        <w:t xml:space="preserve">3.2 Adult outcomes</w:t>
      </w:r>
    </w:p>
    <w:p>
      <w:pPr>
        <w:pStyle w:val="FirstParagraph"/>
      </w:pPr>
      <w:r>
        <w:t xml:space="preserve">W5 adult outcomes are observed among persons aged 17–36. The primary release</w:t>
      </w:r>
      <w:r>
        <w:t xml:space="preserve"> </w:t>
      </w:r>
      <w:r>
        <w:t xml:space="preserve">uses separate outcome families: college attainment, employment, log monthly</w:t>
      </w:r>
      <w:r>
        <w:t xml:space="preserve"> </w:t>
      </w:r>
      <w:r>
        <w:t xml:space="preserve">salary, self-rated health score, good self-rated health, marital status, and</w:t>
      </w:r>
      <w:r>
        <w:t xml:space="preserve"> </w:t>
      </w:r>
      <w:r>
        <w:t xml:space="preserve">trust-item scores. Binary coefficients are interpreted as percentage-point</w:t>
      </w:r>
      <w:r>
        <w:t xml:space="preserve"> </w:t>
      </w:r>
      <w:r>
        <w:t xml:space="preserve">associations. Salary is</w:t>
      </w:r>
      <w:r>
        <w:t xml:space="preserve"> </w:t>
      </w:r>
      <w:r>
        <w:rPr>
          <w:rStyle w:val="VerbatimChar"/>
        </w:rPr>
        <w:t xml:space="preserve">ln(1 + salary)</w:t>
      </w:r>
      <w:r>
        <w:t xml:space="preserve"> </w:t>
      </w:r>
      <w:r>
        <w:t xml:space="preserve">within W5; it is not deflated across</w:t>
      </w:r>
      <w:r>
        <w:t xml:space="preserve"> </w:t>
      </w:r>
      <w:r>
        <w:t xml:space="preserve">waves. Profit is not interpreted for R1 because the model has only four treated</w:t>
      </w:r>
      <w:r>
        <w:t xml:space="preserve"> </w:t>
      </w:r>
      <w:r>
        <w:t xml:space="preserve">observations and fails the predeclared support gate. The missing W5</w:t>
      </w:r>
      <w:r>
        <w:t xml:space="preserve"> </w:t>
      </w:r>
      <w:r>
        <w:rPr>
          <w:rStyle w:val="VerbatimChar"/>
        </w:rPr>
        <w:t xml:space="preserve">b3b_vg</w:t>
      </w:r>
      <w:r>
        <w:t xml:space="preserve"> </w:t>
      </w:r>
      <w:r>
        <w:t xml:space="preserve">module is not presented as a complete CES-D-10 measure.</w:t>
      </w:r>
    </w:p>
    <w:bookmarkEnd w:id="14"/>
    <w:bookmarkStart w:id="15" w:name="X2c9c17c7ff56623c8deca877bff3943144ecaf3"/>
    <w:p>
      <w:pPr>
        <w:pStyle w:val="Heading3"/>
      </w:pPr>
      <w:r>
        <w:t xml:space="preserve">3.3 Model</w:t>
      </w:r>
    </w:p>
    <w:p>
      <w:pPr>
        <w:pStyle w:val="FirstParagraph"/>
      </w:pPr>
      <w:r>
        <w:t xml:space="preserve">For each outcome (Y_{i}), the primary specification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Y_i = \alpha + \beta T_i + \gamma'X_i + \varepsilon_i,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(T_i) is the locked migration indicator and (X_i) contains W1 child</w:t>
      </w:r>
      <w:r>
        <w:t xml:space="preserve"> </w:t>
      </w:r>
      <w:r>
        <w:t xml:space="preserve">age, child sex, household size, and linked mother and father ages. Estimates</w:t>
      </w:r>
      <w:r>
        <w:t xml:space="preserve"> </w:t>
      </w:r>
      <w:r>
        <w:t xml:space="preserve">are unweighted. Standard errors are robust and clustered at the W1 origin</w:t>
      </w:r>
      <w:r>
        <w:t xml:space="preserve"> </w:t>
      </w:r>
      <w:r>
        <w:t xml:space="preserve">household. Each outcome has its own valid-code and missingness rule. The</w:t>
      </w:r>
      <w:r>
        <w:t xml:space="preserve"> </w:t>
      </w:r>
      <w:r>
        <w:t xml:space="preserve">Benjamini–Hochberg adjustment is calculated within the predeclared paper by</w:t>
      </w:r>
      <w:r>
        <w:t xml:space="preserve"> </w:t>
      </w:r>
      <w:r>
        <w:t xml:space="preserve">outcome-family group.</w:t>
      </w:r>
    </w:p>
    <w:p>
      <w:pPr>
        <w:pStyle w:val="BodyText"/>
      </w:pPr>
      <w:r>
        <w:t xml:space="preserve">The coefficient β is an adjusted conditional association. It is not a causal</w:t>
      </w:r>
      <w:r>
        <w:t xml:space="preserve"> </w:t>
      </w:r>
      <w:r>
        <w:t xml:space="preserve">effect because the design does not establish exchangeability, exogenous</w:t>
      </w:r>
      <w:r>
        <w:t xml:space="preserve"> </w:t>
      </w:r>
      <w:r>
        <w:t xml:space="preserve">treatment timing, or a valid instrument.</w:t>
      </w:r>
    </w:p>
    <w:bookmarkEnd w:id="15"/>
    <w:bookmarkEnd w:id="16"/>
    <w:bookmarkStart w:id="23" w:name="X121719332867ee227f0a04b486098cee978c6e6"/>
    <w:p>
      <w:pPr>
        <w:pStyle w:val="Heading2"/>
      </w:pPr>
      <w:r>
        <w:t xml:space="preserve">4. Results</w:t>
      </w:r>
    </w:p>
    <w:bookmarkStart w:id="17" w:name="X9bc38f54afd8b9fbd2b101219a8bb20b463b4ce"/>
    <w:p>
      <w:pPr>
        <w:pStyle w:val="Heading3"/>
      </w:pPr>
      <w:r>
        <w:t xml:space="preserve">4.1 Headline estimates</w:t>
      </w:r>
    </w:p>
    <w:p>
      <w:pPr>
        <w:pStyle w:val="FirstParagraph"/>
      </w:pPr>
      <w:r>
        <w:t xml:space="preserve">Table 2 reports a pre-labelled set of outcome domains. It is not a table made</w:t>
      </w:r>
      <w:r>
        <w:t xml:space="preserve"> </w:t>
      </w:r>
      <w:r>
        <w:t xml:space="preserve">by selecting only statistically significant results. The complete adjusted</w:t>
      </w:r>
      <w:r>
        <w:t xml:space="preserve"> </w:t>
      </w:r>
      <w:r>
        <w:t xml:space="preserve">result file contains all estimable outcomes, including the social/behavioural</w:t>
      </w:r>
      <w:r>
        <w:t xml:space="preserve"> </w:t>
      </w:r>
      <w:r>
        <w:t xml:space="preserve">items and the explicit below-support result status.</w:t>
      </w:r>
    </w:p>
    <w:p>
      <w:pPr>
        <w:pStyle w:val="BodyText"/>
      </w:pPr>
      <w:r>
        <w:t xml:space="preserve">\newpage</w:t>
      </w:r>
    </w:p>
    <w:bookmarkEnd w:id="17"/>
    <w:bookmarkStart w:id="21" w:name="X66942dd686987eeecc572daf48459a3175ca905"/>
    <w:p>
      <w:pPr>
        <w:pageBreakBefore/>
        <w:pStyle w:val="Heading3"/>
      </w:pPr>
      <w:r>
        <w:t xml:space="preserve">Table 2. R1 adjusted associations in the common first-pass frame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p; BH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/ treated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attainment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[-30.15, -11.33]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&lt;0.001; 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3,638 /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[-12.92, 14.33]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0.919; 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3,655 /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monthly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[-4.002, 1.120]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0.270; 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1,795 /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Self-rated health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[-0.059, 0.242]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0.232; 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3,644 /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self-rated health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[2.66, 19.72]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0.010; 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3,644 /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Married/cohabiting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[0.34, 2.97]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0.014; 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2,402 /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item 3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[-0.191, 0.281]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0.706; 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3,479 / 22</w:t>
            </w:r>
          </w:p>
        </w:tc>
      </w:tr>
    </w:tbl>
    <w:p>
      <w:pPr>
        <w:pStyle w:val="BodyText"/>
      </w:pPr>
      <w:r>
        <w:t xml:space="preserve">The adjusted association with college attainment is -0.207, equivalent to</w:t>
      </w:r>
      <w:r>
        <w:t xml:space="preserve"> </w:t>
      </w:r>
      <w:r>
        <w:t xml:space="preserve">about 20.7 percentage points in this binary outcome, with a BH q-value below</w:t>
      </w:r>
      <w:r>
        <w:t xml:space="preserve"> </w:t>
      </w:r>
      <w:r>
        <w:t xml:space="preserve">0.001. The adjusted association with good self-rated health is +0.112, or</w:t>
      </w:r>
      <w:r>
        <w:t xml:space="preserve"> </w:t>
      </w:r>
      <w:r>
        <w:t xml:space="preserve">about 11.2 percentage points, with q = 0.041. These two signals should not be</w:t>
      </w:r>
      <w:r>
        <w:t xml:space="preserve"> </w:t>
      </w:r>
      <w:r>
        <w:t xml:space="preserve">read as estimated causal impacts: they can reflect pre-existing household</w:t>
      </w:r>
      <w:r>
        <w:t xml:space="preserve"> </w:t>
      </w:r>
      <w:r>
        <w:t xml:space="preserve">differences, selective exposure classification, or selective follow-up.</w:t>
      </w:r>
    </w:p>
    <w:p>
      <w:pPr>
        <w:pStyle w:val="BodyText"/>
      </w:pPr>
      <w:r>
        <w:t xml:space="preserve">The other headline outcomes do not survive the predeclared q &lt; 0.05 threshold</w:t>
      </w:r>
      <w:r>
        <w:t xml:space="preserve"> </w:t>
      </w:r>
      <w:r>
        <w:t xml:space="preserve">within their outcome families. The salary estimate has wide uncertainty and a</w:t>
      </w:r>
      <w:r>
        <w:t xml:space="preserve"> </w:t>
      </w:r>
      <w:r>
        <w:t xml:space="preserve">smaller outcome-specific treated count. The full table should be consulted</w:t>
      </w:r>
      <w:r>
        <w:t xml:space="preserve"> </w:t>
      </w:r>
      <w:r>
        <w:t xml:space="preserve">before any interpretation of individual social/behavioural items.</w:t>
      </w:r>
    </w:p>
    <w:p>
      <w:pPr>
        <w:pStyle w:val="BodyText"/>
      </w:pPr>
      <w:r>
        <w:drawing>
          <ns1:inline>
            <ns1:extent cx="5334000" cy="3876975"/>
            <ns1:effectExtent b="0" l="0" r="0" t="0"/>
            <ns1:docPr descr="Figure 1. R1 adjusted coefficients with 95% confidence intervals." title="" id="19" name="Picture"/>
            <ns2:graphic>
              <ns2:graphicData uri="http://schemas.openxmlformats.org/drawingml/2006/picture">
                <ns3:pic>
                  <ns3:nvPicPr>
                    <ns3:cNvPr descr="../figures/first_pass_coefficients_R1.png" id="2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8769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21"/>
    <w:bookmarkStart w:id="22" w:name="X626aac9531973e78794f1c7127a638d929b1b67"/>
    <w:p>
      <w:pPr>
        <w:pStyle w:val="Heading3"/>
      </w:pPr>
      <w:r>
        <w:t xml:space="preserve">4.2 Descriptive baseline information</w:t>
      </w:r>
    </w:p>
    <w:p>
      <w:pPr>
        <w:pStyle w:val="FirstParagraph"/>
      </w:pPr>
      <w:r>
        <w:t xml:space="preserve">The package includes baseline means and standard deviations by treatment 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tables/baseline_descriptives.csv</w:t>
      </w:r>
      <w:r>
        <w:t xml:space="preserve">. They are descriptive within the locked</w:t>
      </w:r>
      <w:r>
        <w:t xml:space="preserve"> </w:t>
      </w:r>
      <w:r>
        <w:t xml:space="preserve">frame, not balance tests that validate a causal design. The treated group is</w:t>
      </w:r>
      <w:r>
        <w:t xml:space="preserve"> </w:t>
      </w:r>
      <w:r>
        <w:t xml:space="preserve">small, so baseline comparisons can be driven by a few households and should</w:t>
      </w:r>
      <w:r>
        <w:t xml:space="preserve"> </w:t>
      </w:r>
      <w:r>
        <w:t xml:space="preserve">not be used to justify causal language.</w:t>
      </w:r>
    </w:p>
    <w:bookmarkEnd w:id="22"/>
    <w:bookmarkEnd w:id="23"/>
    <w:bookmarkStart w:id="24" w:name="Xac45ba6653fd1fa0b651e552cdb5f2770e82409"/>
    <w:p>
      <w:pPr>
        <w:pStyle w:val="Heading2"/>
      </w:pPr>
      <w:r>
        <w:t xml:space="preserve">5. Limitations and reviewer-facing boundaries</w:t>
      </w:r>
    </w:p>
    <w:p>
      <w:pPr>
        <w:pStyle w:val="FirstParagraph"/>
      </w:pPr>
      <w:r>
        <w:t xml:space="preserve">The first limitation is support. Only 25 observations are treated in the</w:t>
      </w:r>
      <w:r>
        <w:t xml:space="preserve"> </w:t>
      </w:r>
      <w:r>
        <w:t xml:space="preserve">common frame, and outcome-specific treated counts range from 13 to 23 for the</w:t>
      </w:r>
      <w:r>
        <w:t xml:space="preserve"> </w:t>
      </w:r>
      <w:r>
        <w:t xml:space="preserve">headline results. The R1 profit outcome has four treated observations and is</w:t>
      </w:r>
      <w:r>
        <w:t xml:space="preserve"> </w:t>
      </w:r>
      <w:r>
        <w:t xml:space="preserve">withheld from interpretation. This makes the estimates sensitive to individual</w:t>
      </w:r>
      <w:r>
        <w:t xml:space="preserve"> </w:t>
      </w:r>
      <w:r>
        <w:t xml:space="preserve">households and limits precision.</w:t>
      </w:r>
    </w:p>
    <w:p>
      <w:pPr>
        <w:pStyle w:val="BodyText"/>
      </w:pPr>
      <w:r>
        <w:t xml:space="preserve">The second limitation is selection. The sample requires valid baseline parent</w:t>
      </w:r>
      <w:r>
        <w:t xml:space="preserve"> </w:t>
      </w:r>
      <w:r>
        <w:t xml:space="preserve">links, a clean origin household, successful linkage to W5, and valid values for</w:t>
      </w:r>
      <w:r>
        <w:t xml:space="preserve"> </w:t>
      </w:r>
      <w:r>
        <w:t xml:space="preserve">each outcome. This is necessary for transparent construction but may select a</w:t>
      </w:r>
      <w:r>
        <w:t xml:space="preserve"> </w:t>
      </w:r>
      <w:r>
        <w:t xml:space="preserve">non-representative subset. No attrition correction is claimed in this release.</w:t>
      </w:r>
    </w:p>
    <w:p>
      <w:pPr>
        <w:pStyle w:val="BodyText"/>
      </w:pPr>
      <w:r>
        <w:t xml:space="preserve">The third limitation is identification. W1 controls reduce measured baseline</w:t>
      </w:r>
      <w:r>
        <w:t xml:space="preserve"> </w:t>
      </w:r>
      <w:r>
        <w:t xml:space="preserve">differences but do not remove unmeasured differences in migration preferences,</w:t>
      </w:r>
      <w:r>
        <w:t xml:space="preserve"> </w:t>
      </w:r>
      <w:r>
        <w:t xml:space="preserve">resources, care arrangements, local labour markets, or child characteristics.</w:t>
      </w:r>
      <w:r>
        <w:t xml:space="preserve"> </w:t>
      </w:r>
      <w:r>
        <w:t xml:space="preserve">No IV, matching, mediation, fixed-effects, or event-study result is part of</w:t>
      </w:r>
      <w:r>
        <w:t xml:space="preserve"> </w:t>
      </w:r>
      <w:r>
        <w:t xml:space="preserve">the primary release.</w:t>
      </w:r>
    </w:p>
    <w:p>
      <w:pPr>
        <w:pStyle w:val="BodyText"/>
      </w:pPr>
      <w:r>
        <w:t xml:space="preserve">The fourth limitation is measurement and provenance. Country coding is kept</w:t>
      </w:r>
      <w:r>
        <w:t xml:space="preserve"> </w:t>
      </w:r>
      <w:r>
        <w:t xml:space="preserve">wave-specific rather than harmonised by assumption. Unresolved exposure and</w:t>
      </w:r>
      <w:r>
        <w:t xml:space="preserve"> </w:t>
      </w:r>
      <w:r>
        <w:t xml:space="preserve">lineage statuses are excluded from the primary frame. The local file hashes</w:t>
      </w:r>
      <w:r>
        <w:t xml:space="preserve"> </w:t>
      </w:r>
      <w:r>
        <w:t xml:space="preserve">are complete, but the exact official release identifier and authorized-data</w:t>
      </w:r>
      <w:r>
        <w:t xml:space="preserve"> </w:t>
      </w:r>
      <w:r>
        <w:t xml:space="preserve">provenance remain open. Finally, the current release does not construct the</w:t>
      </w:r>
      <w:r>
        <w:t xml:space="preserve"> </w:t>
      </w:r>
      <w:r>
        <w:t xml:space="preserve">proposed IMDI and does not report a national monetary loss or NPV.</w:t>
      </w:r>
    </w:p>
    <w:bookmarkEnd w:id="24"/>
    <w:bookmarkStart w:id="25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In the locked IFLS first-pass sample, verified mother-led international work</w:t>
      </w:r>
      <w:r>
        <w:t xml:space="preserve"> </w:t>
      </w:r>
      <w:r>
        <w:t xml:space="preserve">migration after W1 is associated with lower adult college attainment and</w:t>
      </w:r>
      <w:r>
        <w:t xml:space="preserve"> </w:t>
      </w:r>
      <w:r>
        <w:t xml:space="preserve">higher good self-rated health after adjustment for measured W1 controls. The</w:t>
      </w:r>
      <w:r>
        <w:t xml:space="preserve"> </w:t>
      </w:r>
      <w:r>
        <w:t xml:space="preserve">remaining headline outcomes do not show family-level q-values below 0.05. The</w:t>
      </w:r>
      <w:r>
        <w:t xml:space="preserve"> </w:t>
      </w:r>
      <w:r>
        <w:t xml:space="preserve">result is a bounded descriptive-analytic starting point, not a causal estimate</w:t>
      </w:r>
      <w:r>
        <w:t xml:space="preserve"> </w:t>
      </w:r>
      <w:r>
        <w:t xml:space="preserve">of the consequences of maternal migration. A stronger paper would require a</w:t>
      </w:r>
      <w:r>
        <w:t xml:space="preserve"> </w:t>
      </w:r>
      <w:r>
        <w:t xml:space="preserve">closed source-release record, an attrition strategy, survey-design validation,</w:t>
      </w:r>
      <w:r>
        <w:t xml:space="preserve"> </w:t>
      </w:r>
      <w:r>
        <w:t xml:space="preserve">and an identification design that can support causal language.</w:t>
      </w:r>
    </w:p>
    <w:bookmarkEnd w:id="25"/>
    <w:bookmarkStart w:id="26" w:name="declarations-for-author-completion"/>
    <w:p>
      <w:pPr>
        <w:pStyle w:val="Heading2"/>
      </w:pPr>
      <w:r>
        <w:t xml:space="preserve">Declarations for author completion</w:t>
      </w:r>
    </w:p>
    <w:p>
      <w:pPr>
        <w:pStyle w:val="FirstParagraph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project does not redistribute IFLS microdata. The</w:t>
      </w:r>
      <w:r>
        <w:t xml:space="preserve"> </w:t>
      </w:r>
      <w:r>
        <w:t xml:space="preserve">code, aggregate tables, figures, diagnostics, and reproducibility instructions</w:t>
      </w:r>
      <w:r>
        <w:t xml:space="preserve"> </w:t>
      </w:r>
      <w:r>
        <w:t xml:space="preserve">are local artifacts. Authors should obtain and cite the authorized IFLS files</w:t>
      </w:r>
      <w:r>
        <w:t xml:space="preserve"> </w:t>
      </w:r>
      <w:r>
        <w:t xml:space="preserve">through the official RAND documentation and comply with the applicable access</w:t>
      </w:r>
      <w:r>
        <w:t xml:space="preserve"> </w:t>
      </w:r>
      <w:r>
        <w:t xml:space="preserve">terms.</w:t>
      </w:r>
    </w:p>
    <w:p>
      <w:pPr>
        <w:pStyle w:val="BodyText"/>
      </w:pPr>
      <w:r>
        <w:rPr>
          <w:b/>
          <w:bCs/>
        </w:rPr>
        <w:t xml:space="preserve">Funding, conflicts of interest, ethics, acknowledgements, and author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contributions.</w:t>
      </w:r>
      <w:r>
        <w:t xml:space="preserve"> </w:t>
      </w:r>
      <w:r>
        <w:t xml:space="preserve">To be completed by the authors. No author metadata or</w:t>
      </w:r>
      <w:r>
        <w:t xml:space="preserve"> </w:t>
      </w:r>
      <w:r>
        <w:t xml:space="preserve">institutional statement is inferred from the supplied files.</w:t>
      </w:r>
    </w:p>
    <w:p>
      <w:pPr>
        <w:pStyle w:val="BodyText"/>
      </w:pPr>
      <w:r>
        <w:rPr>
          <w:b/>
          <w:bCs/>
        </w:rPr>
        <w:t xml:space="preserve">AI use statement.</w:t>
      </w:r>
      <w:r>
        <w:t xml:space="preserve"> </w:t>
      </w:r>
      <w:r>
        <w:t xml:space="preserve">AI-assisted drafting and organization were used during</w:t>
      </w:r>
      <w:r>
        <w:t xml:space="preserve"> </w:t>
      </w:r>
      <w:r>
        <w:t xml:space="preserve">the 5 September 2026 preparation of this internal draft. All reported</w:t>
      </w:r>
      <w:r>
        <w:t xml:space="preserve"> </w:t>
      </w:r>
      <w:r>
        <w:t xml:space="preserve">estimates were generated by the project's Stata do-files and checked against</w:t>
      </w:r>
      <w:r>
        <w:t xml:space="preserve"> </w:t>
      </w:r>
      <w:r>
        <w:t xml:space="preserve">the saved aggregate CSV files and logs. AI did not modify the raw or derived</w:t>
      </w:r>
      <w:r>
        <w:t xml:space="preserve"> </w:t>
      </w:r>
      <w:r>
        <w:t xml:space="preserve">IFLS data, and restricted microdata and credentials were not disclosed in the</w:t>
      </w:r>
      <w:r>
        <w:t xml:space="preserve"> </w:t>
      </w:r>
      <w:r>
        <w:t xml:space="preserve">drafting process. The authors remain responsible for the final manuscript and</w:t>
      </w:r>
      <w:r>
        <w:t xml:space="preserve"> </w:t>
      </w:r>
      <w:r>
        <w:t xml:space="preserve">for adapting this statement to the target journal's policy.</w:t>
      </w:r>
    </w:p>
    <w:bookmarkEnd w:id="26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RAND Corporation. (2016).</w:t>
      </w:r>
      <w:r>
        <w:t xml:space="preserve"> </w:t>
      </w:r>
      <w:r>
        <w:rPr>
          <w:i/>
          <w:iCs/>
        </w:rPr>
        <w:t xml:space="preserve">The Fifth Wave of the Indonesia Family Life</w:t>
      </w:r>
      <w:r>
        <w:rPr>
          <w:i/>
          <w:iCs/>
        </w:rPr>
        <w:t xml:space="preserve"> </w:t>
      </w:r>
      <w:r>
        <w:rPr>
          <w:i/>
          <w:iCs/>
        </w:rPr>
        <w:t xml:space="preserve">Survey: Overview and Field Report</w:t>
      </w:r>
      <w:r>
        <w:t xml:space="preserve">. WR-1143/1-NIA/NICHD.</w:t>
      </w:r>
      <w:r>
        <w:t xml:space="preserve"> </w:t>
      </w:r>
      <w:hyperlink ns4:id="rId27">
        <w:r>
          <w:rPr>
            <w:rStyle w:val="Hyperlink"/>
          </w:rPr>
          <w:t xml:space="preserve">https://www.rand.org/content/dam/rand/pubs/working_papers/WR1100/WR1143z1/RAND_WR1143z1.pdf</w:t>
        </w:r>
      </w:hyperlink>
    </w:p>
    <w:p>
      <w:pPr>
        <w:pStyle w:val="BodyText"/>
      </w:pPr>
      <w:r>
        <w:t xml:space="preserve">RAND Corporation. (n.d.).</w:t>
      </w:r>
      <w:r>
        <w:t xml:space="preserve"> </w:t>
      </w:r>
      <w:r>
        <w:rPr>
          <w:i/>
          <w:iCs/>
        </w:rPr>
        <w:t xml:space="preserve">Indonesia Family Life Survey</w:t>
      </w:r>
      <w:r>
        <w:t xml:space="preserve">.</w:t>
      </w:r>
      <w:r>
        <w:t xml:space="preserve"> </w:t>
      </w:r>
      <w:hyperlink ns4:id="rId28">
        <w:r>
          <w:rPr>
            <w:rStyle w:val="Hyperlink"/>
          </w:rPr>
          <w:t xml:space="preserve">https://www.rand.org/health/surveys/FLS/IFLS.html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7" Target="https://www.rand.org/content/dam/rand/pubs/working_papers/WR1100/WR1143z1/RAND_WR1143z1.pdf" TargetMode="External" /><Relationship Type="http://schemas.openxmlformats.org/officeDocument/2006/relationships/hyperlink" Id="rId28" Target="https://www.rand.org/health/surveys/FLS/IFL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rand.org/content/dam/rand/pubs/working_papers/WR1100/WR1143z1/RAND_WR1143z1.pdf" TargetMode="External" /><Relationship Type="http://schemas.openxmlformats.org/officeDocument/2006/relationships/hyperlink" Id="rId28" Target="https://www.rand.org/health/surveys/FLS/IFL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2026-09-05T08:23:32Z</dcterms:created>
  <dcterms:modified xsi:type="dcterms:W3CDTF">2026-09-05T08:23:32Z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