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8.png" ContentType="image/png"/>
  <Override PartName="/word/media/rId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ns1="http://schemas.openxmlformats.org/officeDocument/2006/math" xmlns:ns2="http://schemas.openxmlformats.org/drawingml/2006/wordprocessingDrawing" xmlns:ns3="http://schemas.openxmlformats.org/drawingml/2006/main" xmlns:ns4="http://schemas.openxmlformats.org/drawingml/2006/picture" xmlns:ns5="http://schemas.openxmlformats.org/officeDocument/2006/relationships" xmlns:w="http://schemas.openxmlformats.org/wordprocessingml/2006/main">
  <w:body>
    <w:bookmarkStart w:id="31" w:name="X0d8c480d8f61aae0dc51627f8c4b0366dede1e8"/>
    <w:p>
      <w:pPr>
        <w:pStyle w:val="Heading1"/>
      </w:pPr>
      <w:r>
        <w:t xml:space="preserve">Child Labor and Adult Outcomes in Indonesia: A First-Pass Analysis of IFLS</w:t>
      </w:r>
    </w:p>
    <w:p>
      <w:pPr>
        <w:pStyle w:val="FirstParagraph"/>
      </w:pPr>
      <w:r>
        <w:rPr>
          <w:i/>
          <w:iCs/>
        </w:rPr>
        <w:t xml:space="preserve">Anonymised working-paper draft — Riset 3 first-pass release</w:t>
      </w:r>
    </w:p>
    <w:bookmarkStart w:id="9" w:name="abstract"/>
    <w:p>
      <w:pPr>
        <w:pStyle w:val="Heading2"/>
      </w:pPr>
      <w:r>
        <w:t xml:space="preserve">Abstract</w:t>
      </w:r>
    </w:p>
    <w:p>
      <w:pPr>
        <w:pStyle w:val="FirstParagraph"/>
      </w:pPr>
      <w:r>
        <w:t xml:space="preserve">This paper examines the association between intensive market child labor at</w:t>
      </w:r>
      <w:r>
        <w:t xml:space="preserve"> </w:t>
      </w:r>
      <w:r>
        <w:t xml:space="preserve">age 15 and adult outcomes in Indonesia. The exposure is defined from observed</w:t>
      </w:r>
      <w:r>
        <w:t xml:space="preserve"> </w:t>
      </w:r>
      <w:r>
        <w:t xml:space="preserve">work screens and valid hours for up to two jobs in the second and third IFLS</w:t>
      </w:r>
      <w:r>
        <w:t xml:space="preserve"> </w:t>
      </w:r>
      <w:r>
        <w:t xml:space="preserve">waves. The primary treatment is more than 43 hours of market work in the</w:t>
      </w:r>
      <w:r>
        <w:t xml:space="preserve"> </w:t>
      </w:r>
      <w:r>
        <w:t xml:space="preserve">reference week. Younger age bands remain descriptive because their linked</w:t>
      </w:r>
      <w:r>
        <w:t xml:space="preserve"> </w:t>
      </w:r>
      <w:r>
        <w:t xml:space="preserve">work-screen support is sparse or unresolved. The W2/W3 age-15 treatment file</w:t>
      </w:r>
      <w:r>
        <w:t xml:space="preserve"> </w:t>
      </w:r>
      <w:r>
        <w:t xml:space="preserve">contains 1,131 eligible person-wave observations, including 71 treated and</w:t>
      </w:r>
      <w:r>
        <w:t xml:space="preserve"> </w:t>
      </w:r>
      <w:r>
        <w:t xml:space="preserve">1,060 controls before the W5-linked analysis frame. The common first-pass</w:t>
      </w:r>
      <w:r>
        <w:t xml:space="preserve"> </w:t>
      </w:r>
      <w:r>
        <w:t xml:space="preserve">frame contains 753 observations, including 44 treated and 709 controls. We</w:t>
      </w:r>
      <w:r>
        <w:t xml:space="preserve"> </w:t>
      </w:r>
      <w:r>
        <w:t xml:space="preserve">estimate unweighted adjusted associations with baseline controls, a wave</w:t>
      </w:r>
      <w:r>
        <w:t xml:space="preserve"> </w:t>
      </w:r>
      <w:r>
        <w:t xml:space="preserve">indicator, and treatment-wave household-clustered robust standard errors. The</w:t>
      </w:r>
      <w:r>
        <w:t xml:space="preserve"> </w:t>
      </w:r>
      <w:r>
        <w:t xml:space="preserve">largest signals are lower college attainment and higher marriage/cohabitation</w:t>
      </w:r>
      <w:r>
        <w:t xml:space="preserve"> </w:t>
      </w:r>
      <w:r>
        <w:t xml:space="preserve">and trust-item-3 scores among treated observations. These are conditional</w:t>
      </w:r>
      <w:r>
        <w:t xml:space="preserve"> </w:t>
      </w:r>
      <w:r>
        <w:t xml:space="preserve">associations, not causal effects. Attrition, small treated support, outcome</w:t>
      </w:r>
      <w:r>
        <w:t xml:space="preserve"> </w:t>
      </w:r>
      <w:r>
        <w:t xml:space="preserve">missingness, and limited work-label documentation constrain interpretation.</w:t>
      </w:r>
    </w:p>
    <w:p>
      <w:pPr>
        <w:pStyle w:val="BodyText"/>
      </w:pPr>
      <w:r>
        <w:rPr>
          <w:b/>
          <w:bCs/>
        </w:rPr>
        <w:t xml:space="preserve">Keywords:</w:t>
      </w:r>
      <w:r>
        <w:t xml:space="preserve"> </w:t>
      </w:r>
      <w:r>
        <w:t xml:space="preserve">child labor; adult outcomes; education; health; Indonesia;</w:t>
      </w:r>
      <w:r>
        <w:t xml:space="preserve"> </w:t>
      </w:r>
      <w:r>
        <w:t xml:space="preserve">longitudinal survey; social welfare</w:t>
      </w:r>
    </w:p>
    <w:bookmarkEnd w:id="9"/>
    <w:bookmarkStart w:id="10" w:name="introduction"/>
    <w:p>
      <w:pPr>
        <w:pStyle w:val="Heading2"/>
      </w:pPr>
      <w:r>
        <w:t xml:space="preserve">1. Introduction</w:t>
      </w:r>
    </w:p>
    <w:p>
      <w:pPr>
        <w:pStyle w:val="FirstParagraph"/>
      </w:pPr>
      <w:r>
        <w:t xml:space="preserve">Child labor may affect later education, employment, health, and social</w:t>
      </w:r>
      <w:r>
        <w:t xml:space="preserve"> </w:t>
      </w:r>
      <w:r>
        <w:t xml:space="preserve">outcomes. A longitudinal design can connect an observed work episode during</w:t>
      </w:r>
      <w:r>
        <w:t xml:space="preserve"> </w:t>
      </w:r>
      <w:r>
        <w:t xml:space="preserve">childhood to later outcomes, but it does not by itself solve selection into</w:t>
      </w:r>
      <w:r>
        <w:t xml:space="preserve"> </w:t>
      </w:r>
      <w:r>
        <w:t xml:space="preserve">work. Children who work long hours may differ in household resources, school</w:t>
      </w:r>
      <w:r>
        <w:t xml:space="preserve"> </w:t>
      </w:r>
      <w:r>
        <w:t xml:space="preserve">access, local labour demand, health, and expectations before the work episode.</w:t>
      </w:r>
    </w:p>
    <w:p>
      <w:pPr>
        <w:pStyle w:val="BodyText"/>
      </w:pPr>
      <w:r>
        <w:t xml:space="preserve">This paper asks a bounded first-pass question: among IFLS children observed at</w:t>
      </w:r>
      <w:r>
        <w:t xml:space="preserve"> </w:t>
      </w:r>
      <w:r>
        <w:t xml:space="preserve">age 15 in W2 or W3, how is intensive market work in the reference week</w:t>
      </w:r>
      <w:r>
        <w:t xml:space="preserve"> </w:t>
      </w:r>
      <w:r>
        <w:t xml:space="preserve">associated with separate W5 adult outcomes? The paper focuses on transparent</w:t>
      </w:r>
      <w:r>
        <w:t xml:space="preserve"> </w:t>
      </w:r>
      <w:r>
        <w:t xml:space="preserve">measurement and support rather than presenting a causal estimate. It uses a</w:t>
      </w:r>
      <w:r>
        <w:t xml:space="preserve"> </w:t>
      </w:r>
      <w:r>
        <w:t xml:space="preserve">predeclared age-15 treatment because the age-10–14 data do not provide enough</w:t>
      </w:r>
      <w:r>
        <w:t xml:space="preserve"> </w:t>
      </w:r>
      <w:r>
        <w:t xml:space="preserve">resolved, comparable work-hour support for primary inference.</w:t>
      </w:r>
    </w:p>
    <w:p>
      <w:pPr>
        <w:pStyle w:val="BodyText"/>
      </w:pPr>
      <w:r>
        <w:t xml:space="preserve">The analysis also keeps the outcome families separate. Education, labour,</w:t>
      </w:r>
      <w:r>
        <w:t xml:space="preserve"> </w:t>
      </w:r>
      <w:r>
        <w:t xml:space="preserve">health, and social/behavioural outcomes are not combined into a new index, and</w:t>
      </w:r>
      <w:r>
        <w:t xml:space="preserve"> </w:t>
      </w:r>
      <w:r>
        <w:t xml:space="preserve">the earnings results are not converted into a national loss or present-value</w:t>
      </w:r>
      <w:r>
        <w:t xml:space="preserve"> </w:t>
      </w:r>
      <w:r>
        <w:t xml:space="preserve">calculation. Those extensions require separate data and identification gates.</w:t>
      </w:r>
    </w:p>
    <w:bookmarkEnd w:id="10"/>
    <w:bookmarkStart w:id="12" w:name="data-and-study-population"/>
    <w:p>
      <w:pPr>
        <w:pStyle w:val="Heading2"/>
      </w:pPr>
      <w:r>
        <w:t xml:space="preserve">2. Data and study population</w:t>
      </w:r>
    </w:p>
    <w:p>
      <w:pPr>
        <w:pStyle w:val="FirstParagraph"/>
      </w:pPr>
      <w:r>
        <w:t xml:space="preserve">The IFLS is an ongoing longitudinal survey with repeated waves and information</w:t>
      </w:r>
      <w:r>
        <w:t xml:space="preserve"> </w:t>
      </w:r>
      <w:r>
        <w:t xml:space="preserve">at individual, household, community, and facility levels. RAND’s official</w:t>
      </w:r>
      <w:r>
        <w:t xml:space="preserve"> </w:t>
      </w:r>
      <w:r>
        <w:t xml:space="preserve">study-design and data-notes pages document the wave structure, record units,</w:t>
      </w:r>
      <w:r>
        <w:t xml:space="preserve"> </w:t>
      </w:r>
      <w:r>
        <w:t xml:space="preserve">tracking guidance, skip patterns, and special codes; the IFLS5 field report</w:t>
      </w:r>
      <w:r>
        <w:t xml:space="preserve"> </w:t>
      </w:r>
      <w:r>
        <w:t xml:space="preserve">provides fieldwork and documentation context (RAND, 2016; RAND, n.d.-a;</w:t>
      </w:r>
      <w:r>
        <w:t xml:space="preserve"> </w:t>
      </w:r>
      <w:r>
        <w:t xml:space="preserve">RAND, n.d.-b; RAND, n.d.-c). RAND’s access page requires registration for</w:t>
      </w:r>
      <w:r>
        <w:t xml:space="preserve"> </w:t>
      </w:r>
      <w:r>
        <w:t xml:space="preserve">public-use data, separates restricted-use access, prohibits redistribution, and</w:t>
      </w:r>
      <w:r>
        <w:t xml:space="preserve"> </w:t>
      </w:r>
      <w:r>
        <w:t xml:space="preserve">requires acknowledgement of IFLS (RAND, n.d.-d). This project uses locally</w:t>
      </w:r>
      <w:r>
        <w:t xml:space="preserve"> </w:t>
      </w:r>
      <w:r>
        <w:t xml:space="preserve">held IFLS files and preserves the raw source folder. The exact official</w:t>
      </w:r>
      <w:r>
        <w:t xml:space="preserve"> </w:t>
      </w:r>
      <w:r>
        <w:t xml:space="preserve">source-release identifier and owner access record remain open and are not</w:t>
      </w:r>
      <w:r>
        <w:t xml:space="preserve"> </w:t>
      </w:r>
      <w:r>
        <w:t xml:space="preserve">inferred from local hashes.</w:t>
      </w:r>
    </w:p>
    <w:p>
      <w:pPr>
        <w:pStyle w:val="BodyText"/>
      </w:pPr>
      <w:r>
        <w:t xml:space="preserve">The treatment unit is a person-wave observation from W2 (1997) or W3 (2000).</w:t>
      </w:r>
      <w:r>
        <w:t xml:space="preserve"> </w:t>
      </w:r>
      <w:r>
        <w:t xml:space="preserve">The primary treatment population is restricted to persons aged exactly 15 at</w:t>
      </w:r>
      <w:r>
        <w:t xml:space="preserve"> </w:t>
      </w:r>
      <w:r>
        <w:t xml:space="preserve">the treatment wave, with a valid person and household link, an observed work</w:t>
      </w:r>
      <w:r>
        <w:t xml:space="preserve"> </w:t>
      </w:r>
      <w:r>
        <w:t xml:space="preserve">screen, and a W1 baseline linkage. W2 and W3 are pooled only with a wave</w:t>
      </w:r>
      <w:r>
        <w:t xml:space="preserve"> </w:t>
      </w:r>
      <w:r>
        <w:t xml:space="preserve">indicator, and standard errors are clustered at the treatment-wave household.</w:t>
      </w:r>
    </w:p>
    <w:p>
      <w:pPr>
        <w:pStyle w:val="BodyText"/>
      </w:pPr>
      <w:r>
        <w:t xml:space="preserve">The age-15 treatment construction has 1,891 person-wave observations across</w:t>
      </w:r>
      <w:r>
        <w:t xml:space="preserve"> </w:t>
      </w:r>
      <w:r>
        <w:t xml:space="preserve">W2 and W3, of which 1,135 have an observed screen and 1,131 pass the primary</w:t>
      </w:r>
      <w:r>
        <w:t xml:space="preserve"> </w:t>
      </w:r>
      <w:r>
        <w:t xml:space="preserve">eligibility rules. The construction file contains 71 treated and 1,060</w:t>
      </w:r>
      <w:r>
        <w:t xml:space="preserve"> </w:t>
      </w:r>
      <w:r>
        <w:t xml:space="preserve">controls. After the W1 and W5 common-frame restrictions, the analysis sample</w:t>
      </w:r>
      <w:r>
        <w:t xml:space="preserve"> </w:t>
      </w:r>
      <w:r>
        <w:t xml:space="preserve">contains 753 observations: 44 treated and 709 controls.</w:t>
      </w:r>
    </w:p>
    <w:bookmarkStart w:id="11" w:name="table-1.-r3-sample-flow-and-support"/>
    <w:p>
      <w:pPr>
        <w:pStyle w:val="Heading3"/>
      </w:pPr>
      <w:r>
        <w:t xml:space="preserve">Table 1. R3 sample flow and support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Stage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Age-15 person-wave observations in W2/W3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1,891</w:t>
            </w:r>
          </w:p>
        </w:tc>
      </w:tr>
      <w:tr>
        <w:tc>
          <w:tcPr/>
          <w:p>
            <w:pPr>
              <w:pStyle w:val="Compact"/>
            </w:pPr>
            <w:r>
              <w:t xml:space="preserve">Observed work screen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1,135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Primary-eligible age-15 observations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1,131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Treated / control before common-frame restriction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71 / 1,060</w:t>
            </w:r>
          </w:p>
        </w:tc>
      </w:tr>
      <w:tr>
        <w:tc>
          <w:tcPr/>
          <w:p>
            <w:pPr>
              <w:pStyle w:val="Compact"/>
            </w:pPr>
            <w:r>
              <w:t xml:space="preserve">W1-plus-W5 common analysis frame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753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Treated / control in common analysis frame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44 / 709</w:t>
            </w:r>
          </w:p>
        </w:tc>
      </w:tr>
    </w:tbl>
    <w:p>
      <w:pPr>
        <w:pStyle w:val="BodyText"/>
      </w:pPr>
      <w:r>
        <w:t xml:space="preserve">These are construction and analysis-frame counts, not national child-labor</w:t>
      </w:r>
      <w:r>
        <w:t xml:space="preserve"> </w:t>
      </w:r>
      <w:r>
        <w:t xml:space="preserve">prevalence estimates.</w:t>
      </w:r>
    </w:p>
    <w:bookmarkEnd w:id="11"/>
    <w:bookmarkEnd w:id="12"/>
    <w:bookmarkStart w:id="16" w:name="Xe4e69e83df90ac8bf2c8bbb2d16e4467ab47e0f"/>
    <w:p>
      <w:pPr>
        <w:pStyle w:val="Heading2"/>
      </w:pPr>
      <w:r>
        <w:t xml:space="preserve">3. Exposure, outcomes, and empirical specification</w:t>
      </w:r>
    </w:p>
    <w:bookmarkStart w:id="13" w:name="treatment-definition"/>
    <w:p>
      <w:pPr>
        <w:pStyle w:val="Heading3"/>
      </w:pPr>
      <w:r>
        <w:t xml:space="preserve">3.1 Treatment definition</w:t>
      </w:r>
    </w:p>
    <w:p>
      <w:pPr>
        <w:pStyle w:val="FirstParagraph"/>
      </w:pPr>
      <w:r>
        <w:t xml:space="preserve">The market-work screen is positive when the relevant activity evidence meets</w:t>
      </w:r>
      <w:r>
        <w:t xml:space="preserve"> </w:t>
      </w:r>
      <w:r>
        <w:t xml:space="preserve">the locked numeric rule. Job 1 hours are valid only when the job-1 status is</w:t>
      </w:r>
      <w:r>
        <w:t xml:space="preserve"> </w:t>
      </w:r>
      <w:r>
        <w:t xml:space="preserve">observed and hours are between 0 and 168. Job 2 is either explicitly absent or</w:t>
      </w:r>
      <w:r>
        <w:t xml:space="preserve"> </w:t>
      </w:r>
      <w:r>
        <w:t xml:space="preserve">has a valid status and hours in the same range. Total weekly hours are job 1</w:t>
      </w:r>
      <w:r>
        <w:t xml:space="preserve"> </w:t>
      </w:r>
      <w:r>
        <w:t xml:space="preserve">hours plus job 2 hours when a second job is present. The primary treatment is:</w:t>
      </w:r>
    </w:p>
    <w:p>
      <w:pPr>
        <w:pStyle w:val="BodyText"/>
      </w:pPr>
      <ns1:oMathPara>
        <ns1:oMathParaPr>
          <ns1:jc ns1:val="center"/>
        </ns1:oMathParaPr>
        <ns1:oMath>
          <ns1:sSub>
            <ns1:e>
              <ns1:r>
                <ns1:t>T</ns1:t>
              </ns1:r>
            </ns1:e>
            <ns1:sub>
              <ns1:r>
                <ns1:t>i</ns1:t>
              </ns1:r>
            </ns1:sub>
          </ns1:sSub>
          <ns1:r>
            <ns1:rPr>
              <ns1:sty ns1:val="p"/>
            </ns1:rPr>
            <ns1:t>=</ns1:t>
          </ns1:r>
          <ns1:r>
            <ns1:t>1</ns1:t>
          </ns1:r>
          <ns1:r>
            <ns1:rPr>
              <ns1:sty ns1:val="p"/>
            </ns1:rPr>
            <ns1:t>{</ns1:t>
          </ns1:r>
          <ns1:r>
            <ns1:rPr>
              <ns1:nor/>
              <ns1:sty ns1:val="p"/>
            </ns1:rPr>
            <ns1:t>valid market-work screen and total hours</ns1:t>
          </ns1:r>
          <ns1:r>
            <ns1:rPr>
              <ns1:sty ns1:val="p"/>
            </ns1:rPr>
            <ns1:t>&gt;</ns1:t>
          </ns1:r>
          <ns1:r>
            <ns1:t>43</ns1:t>
          </ns1:r>
          <ns1:r>
            <ns1:rPr>
              <ns1:sty ns1:val="p"/>
            </ns1:rPr>
            <ns1:t>}</ns1:t>
          </ns1:r>
          <ns1:r>
            <ns1:rPr>
              <ns1:sty ns1:val="p"/>
            </ns1:rPr>
            <ns1:t>.</ns1:t>
          </ns1:r>
        </ns1:oMath>
      </ns1:oMathPara>
    </w:p>
    <w:p>
      <w:pPr>
        <w:pStyle w:val="FirstParagraph"/>
      </w:pPr>
      <w:r>
        <w:t xml:space="preserve">The screen uses the observed activity indicators documented in the treatment</w:t>
      </w:r>
      <w:r>
        <w:t xml:space="preserve"> </w:t>
      </w:r>
      <w:r>
        <w:t xml:space="preserve">definition. A person is a control only when the screen and hours provide</w:t>
      </w:r>
      <w:r>
        <w:t xml:space="preserve"> </w:t>
      </w:r>
      <w:r>
        <w:t xml:space="preserve">adequate evidence that the primary threshold is not met. Missing screens,</w:t>
      </w:r>
      <w:r>
        <w:t xml:space="preserve"> </w:t>
      </w:r>
      <w:r>
        <w:t xml:space="preserve">unknown activity codes, invalid hours, and unresolved second-job status are</w:t>
      </w:r>
      <w:r>
        <w:t xml:space="preserve"> </w:t>
      </w:r>
      <w:r>
        <w:t xml:space="preserve">kept as unresolved and are not forced into control.</w:t>
      </w:r>
    </w:p>
    <w:p>
      <w:pPr>
        <w:pStyle w:val="BodyText"/>
      </w:pPr>
      <w:r>
        <w:t xml:space="preserve">The primary does not include chores, domestic work, hazardous work, or an</w:t>
      </w:r>
      <w:r>
        <w:t xml:space="preserve"> </w:t>
      </w:r>
      <w:r>
        <w:t xml:space="preserve">occupation/industry hazard classification. The age-10–11 and age-12–14</w:t>
      </w:r>
      <w:r>
        <w:t xml:space="preserve"> </w:t>
      </w:r>
      <w:r>
        <w:t xml:space="preserve">thresholds are retained only for descriptive/feasibility outputs. In the</w:t>
      </w:r>
      <w:r>
        <w:t xml:space="preserve"> </w:t>
      </w:r>
      <w:r>
        <w:t xml:space="preserve">working extraction, age-10–11 screen support is unresolved and age-12–14</w:t>
      </w:r>
      <w:r>
        <w:t xml:space="preserve"> </w:t>
      </w:r>
      <w:r>
        <w:t xml:space="preserve">treated counts are very small, so neither band is promoted to inferential</w:t>
      </w:r>
      <w:r>
        <w:t xml:space="preserve"> </w:t>
      </w:r>
      <w:r>
        <w:t xml:space="preserve">primary status.</w:t>
      </w:r>
    </w:p>
    <w:bookmarkEnd w:id="13"/>
    <w:bookmarkStart w:id="14" w:name="adult-outcomes"/>
    <w:p>
      <w:pPr>
        <w:pStyle w:val="Heading3"/>
      </w:pPr>
      <w:r>
        <w:t xml:space="preserve">3.2 Adult outcomes</w:t>
      </w:r>
    </w:p>
    <w:p>
      <w:pPr>
        <w:pStyle w:val="FirstParagraph"/>
      </w:pPr>
      <w:r>
        <w:t xml:space="preserve">The W5 outcome universe contains persons aged 17–36. The headline outcomes</w:t>
      </w:r>
      <w:r>
        <w:t xml:space="preserve"> </w:t>
      </w:r>
      <w:r>
        <w:t xml:space="preserve">are college attainment, employment, log monthly salary, self-rated health</w:t>
      </w:r>
      <w:r>
        <w:t xml:space="preserve"> </w:t>
      </w:r>
      <w:r>
        <w:t xml:space="preserve">score, good self-rated health, married/cohabiting status, and trust-item-3</w:t>
      </w:r>
      <w:r>
        <w:t xml:space="preserve"> </w:t>
      </w:r>
      <w:r>
        <w:t xml:space="preserve">score. Binary coefficients are percentage-point associations. Salary is</w:t>
      </w:r>
      <w:r>
        <w:t xml:space="preserve"> </w:t>
      </w:r>
      <w:r>
        <w:rPr>
          <w:rStyle w:val="VerbatimChar"/>
        </w:rPr>
        <w:t xml:space="preserve">ln(1 + salary)</w:t>
      </w:r>
      <w:r>
        <w:t xml:space="preserve"> </w:t>
      </w:r>
      <w:r>
        <w:t xml:space="preserve">within W5. An absolute-profit outcome is retained in the full</w:t>
      </w:r>
      <w:r>
        <w:t xml:space="preserve"> </w:t>
      </w:r>
      <w:r>
        <w:t xml:space="preserve">output but is not a headline claim because its model has only 11 treated</w:t>
      </w:r>
      <w:r>
        <w:t xml:space="preserve"> </w:t>
      </w:r>
      <w:r>
        <w:t xml:space="preserve">observations. No PCE deflation, NPV, or national aggregation is reported.</w:t>
      </w:r>
    </w:p>
    <w:bookmarkEnd w:id="14"/>
    <w:bookmarkStart w:id="15" w:name="model"/>
    <w:p>
      <w:pPr>
        <w:pStyle w:val="Heading3"/>
      </w:pPr>
      <w:r>
        <w:t xml:space="preserve">3.3 Model</w:t>
      </w:r>
    </w:p>
    <w:p>
      <w:pPr>
        <w:pStyle w:val="FirstParagraph"/>
      </w:pPr>
      <w:r>
        <w:t xml:space="preserve">For each valid W5 outcome (Y_i), the first-pass specification is:</w:t>
      </w:r>
    </w:p>
    <w:p>
      <w:pPr>
        <w:pStyle w:val="BodyText"/>
      </w:pPr>
      <ns1:oMathPara>
        <ns1:oMathParaPr>
          <ns1:jc ns1:val="center"/>
        </ns1:oMathParaPr>
        <ns1:oMath>
          <ns1:sSub>
            <ns1:e>
              <ns1:r>
                <ns1:t>Y</ns1:t>
              </ns1:r>
            </ns1:e>
            <ns1:sub>
              <ns1:r>
                <ns1:t>i</ns1:t>
              </ns1:r>
            </ns1:sub>
          </ns1:sSub>
          <ns1:r>
            <ns1:rPr>
              <ns1:sty ns1:val="p"/>
            </ns1:rPr>
            <ns1:t>=</ns1:t>
          </ns1:r>
          <ns1:r>
            <ns1:t>α</ns1:t>
          </ns1:r>
          <ns1:r>
            <ns1:rPr>
              <ns1:sty ns1:val="p"/>
            </ns1:rPr>
            <ns1:t>+</ns1:t>
          </ns1:r>
          <ns1:r>
            <ns1:t>β</ns1:t>
          </ns1:r>
          <ns1:sSub>
            <ns1:e>
              <ns1:r>
                <ns1:t>T</ns1:t>
              </ns1:r>
            </ns1:e>
            <ns1:sub>
              <ns1:r>
                <ns1:t>i</ns1:t>
              </ns1:r>
            </ns1:sub>
          </ns1:sSub>
          <ns1:r>
            <ns1:rPr>
              <ns1:sty ns1:val="p"/>
            </ns1:rPr>
            <ns1:t>+</ns1:t>
          </ns1:r>
          <ns1:sSup>
            <ns1:e>
              <ns1:r>
                <ns1:t>γ</ns1:t>
              </ns1:r>
            </ns1:e>
            <ns1:sup>
              <ns1:r>
                <ns1:rPr>
                  <ns1:sty ns1:val="p"/>
                </ns1:rPr>
                <ns1:t>′</ns1:t>
              </ns1:r>
            </ns1:sup>
          </ns1:sSup>
          <ns1:sSub>
            <ns1:e>
              <ns1:r>
                <ns1:t>X</ns1:t>
              </ns1:r>
            </ns1:e>
            <ns1:sub>
              <ns1:r>
                <ns1:t>i</ns1:t>
              </ns1:r>
            </ns1:sub>
          </ns1:sSub>
          <ns1:r>
            <ns1:rPr>
              <ns1:sty ns1:val="p"/>
            </ns1:rPr>
            <ns1:t>+</ns1:t>
          </ns1:r>
          <ns1:r>
            <ns1:t>δ</ns1:t>
          </ns1:r>
          <ns1:r>
            <ns1:t>W</ns1:t>
          </ns1:r>
          <ns1:r>
            <ns1:t>a</ns1:t>
          </ns1:r>
          <ns1:r>
            <ns1:t>v</ns1:t>
          </ns1:r>
          <ns1:sSub>
            <ns1:e>
              <ns1:r>
                <ns1:t>e</ns1:t>
              </ns1:r>
            </ns1:e>
            <ns1:sub>
              <ns1:r>
                <ns1:t>i</ns1:t>
              </ns1:r>
            </ns1:sub>
          </ns1:sSub>
          <ns1:r>
            <ns1:rPr>
              <ns1:sty ns1:val="p"/>
            </ns1:rPr>
            <ns1:t>+</ns1:t>
          </ns1:r>
          <ns1:sSub>
            <ns1:e>
              <ns1:r>
                <ns1:t>ε</ns1:t>
              </ns1:r>
            </ns1:e>
            <ns1:sub>
              <ns1:r>
                <ns1:t>i</ns1:t>
              </ns1:r>
            </ns1:sub>
          </ns1:sSub>
          <ns1:r>
            <ns1:rPr>
              <ns1:sty ns1:val="p"/>
            </ns1:rPr>
            <ns1:t>,</ns1:t>
          </ns1:r>
        </ns1:oMath>
      </ns1:oMathPara>
    </w:p>
    <w:p>
      <w:pPr>
        <w:pStyle w:val="FirstParagraph"/>
      </w:pPr>
      <w:r>
        <w:t xml:space="preserve">where (X_i) contains W1 age, child sex, household size, and linked parent</w:t>
      </w:r>
      <w:r>
        <w:t xml:space="preserve"> </w:t>
      </w:r>
      <w:r>
        <w:t xml:space="preserve">ages.</w:t>
      </w:r>
      <w:r>
        <w:t xml:space="preserve"> </w:t>
      </w:r>
      <w:r>
        <w:rPr>
          <w:rStyle w:val="VerbatimChar"/>
        </w:rPr>
        <w:t xml:space="preserve">Wave</w:t>
      </w:r>
      <w:r>
        <w:t xml:space="preserve"> </w:t>
      </w:r>
      <w:r>
        <w:t xml:space="preserve">distinguishes W2 from W3. The model is unweighted, uses</w:t>
      </w:r>
      <w:r>
        <w:t xml:space="preserve"> </w:t>
      </w:r>
      <w:r>
        <w:t xml:space="preserve">treatment-wave household-clustered robust standard errors, and applies</w:t>
      </w:r>
      <w:r>
        <w:t xml:space="preserve"> </w:t>
      </w:r>
      <w:r>
        <w:t xml:space="preserve">outcome-specific listwise deletion. Benjamini–Hochberg q-values are calculated</w:t>
      </w:r>
      <w:r>
        <w:t xml:space="preserve"> </w:t>
      </w:r>
      <w:r>
        <w:t xml:space="preserve">within each predeclared paper-by-family group.</w:t>
      </w:r>
    </w:p>
    <w:p>
      <w:pPr>
        <w:pStyle w:val="BodyText"/>
      </w:pPr>
      <w:r>
        <w:t xml:space="preserve">The coefficient β is an adjusted association. It does not identify the</w:t>
      </w:r>
      <w:r>
        <w:t xml:space="preserve"> </w:t>
      </w:r>
      <w:r>
        <w:t xml:space="preserve">causal effect of child labor because the observed treatment is not randomly</w:t>
      </w:r>
      <w:r>
        <w:t xml:space="preserve"> </w:t>
      </w:r>
      <w:r>
        <w:t xml:space="preserve">assigned and the current release has no valid instrument, fixed-effects design,</w:t>
      </w:r>
      <w:r>
        <w:t xml:space="preserve"> </w:t>
      </w:r>
      <w:r>
        <w:t xml:space="preserve">or attrition correction.</w:t>
      </w:r>
    </w:p>
    <w:bookmarkEnd w:id="15"/>
    <w:bookmarkEnd w:id="16"/>
    <w:bookmarkStart w:id="26" w:name="results"/>
    <w:p>
      <w:pPr>
        <w:pStyle w:val="Heading2"/>
      </w:pPr>
      <w:r>
        <w:t xml:space="preserve">4. Results</w:t>
      </w:r>
    </w:p>
    <w:bookmarkStart w:id="17" w:name="headline-estimates"/>
    <w:p>
      <w:pPr>
        <w:pStyle w:val="Heading3"/>
      </w:pPr>
      <w:r>
        <w:t xml:space="preserve">4.1 Headline estimates</w:t>
      </w:r>
    </w:p>
    <w:p>
      <w:pPr>
        <w:pStyle w:val="FirstParagraph"/>
      </w:pPr>
      <w:r>
        <w:t xml:space="preserve">Table 2 is a pre-labelled domain table. It includes the same selected domains</w:t>
      </w:r>
      <w:r>
        <w:t xml:space="preserve"> </w:t>
      </w:r>
      <w:r>
        <w:t xml:space="preserve">for both papers and is not filtered after seeing the p-values. The complete</w:t>
      </w:r>
      <w:r>
        <w:t xml:space="preserve"> </w:t>
      </w:r>
      <w:r>
        <w:t xml:space="preserve">adjusted results file contains all outcome-family rows.</w:t>
      </w:r>
    </w:p>
    <w:bookmarkEnd w:id="17"/>
    <w:bookmarkStart w:id="21" w:name="X03d2ce512619f5218957bc768d63f4baaf9402e"/>
    <w:p>
      <w:pPr>
        <w:pageBreakBefore/>
        <w:pStyle w:val="Heading3"/>
      </w:pPr>
      <w:r>
        <w:t xml:space="preserve">Table 2. R3 adjusted associations in the common first-pass frame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N / treated</w:t>
      </w:r>
      <w:r>
        <w:t xml:space="preserve"> </w:t>
      </w:r>
      <w:r>
        <w:t xml:space="preserve">column is outcome-specific after valid-code and listwise</w:t>
      </w:r>
      <w:r>
        <w:t xml:space="preserve"> </w:t>
      </w:r>
      <w:r>
        <w:t xml:space="preserve">deletion; it is not the common-frame count of 753 observations and 44 treated</w:t>
      </w:r>
      <w:r>
        <w:t xml:space="preserve"> </w:t>
      </w:r>
      <w:r>
        <w:t xml:space="preserve">observations.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50"/>
        <w:gridCol w:w="1667"/>
        <w:gridCol w:w="1667"/>
        <w:gridCol w:w="1667"/>
        <w:gridCol w:w="166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Outcome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Estimate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p; BH q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 / treated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College attainment (pp)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-16.95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[-20.57, -13.32]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&lt;0.001; &lt;0.001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719 / 43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Employment (pp)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[-12.40, 15.95]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0.806; 0.896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725 / 43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 monthly salary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[-0.812, 0.711]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0.896; 0.896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342 / 17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Self-rated health score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[-0.354, 0.073]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0.197; 0.263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721 / 42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Good self-rated health (pp)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-3.74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[-17.18, 9.71]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0.586; 0.586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721 / 42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Married/cohabiting (pp)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[0.97, 5.03]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0.004; 0.029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623 / 39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Trust item 3 score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[0.082, 0.502]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0.006; 0.029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704 / 39</w:t>
            </w:r>
          </w:p>
        </w:tc>
      </w:tr>
    </w:tbl>
    <w:p>
      <w:pPr>
        <w:pStyle w:val="BodyText"/>
      </w:pPr>
      <w:r>
        <w:t xml:space="preserve">The adjusted association with college attainment is -0.169, or about 17.0</w:t>
      </w:r>
      <w:r>
        <w:t xml:space="preserve"> </w:t>
      </w:r>
      <w:r>
        <w:t xml:space="preserve">percentage points, with a BH q-value below 0.001. The adjusted associations</w:t>
      </w:r>
      <w:r>
        <w:t xml:space="preserve"> </w:t>
      </w:r>
      <w:r>
        <w:t xml:space="preserve">with married/cohabiting status and trust-item-3 score are positive, with q =</w:t>
      </w:r>
      <w:r>
        <w:t xml:space="preserve"> </w:t>
      </w:r>
      <w:r>
        <w:t xml:space="preserve">0.029 for each. These patterns are conditional associations within the</w:t>
      </w:r>
      <w:r>
        <w:t xml:space="preserve"> </w:t>
      </w:r>
      <w:r>
        <w:t xml:space="preserve">selected sample and should not be read as effects caused by child labor.</w:t>
      </w:r>
    </w:p>
    <w:p>
      <w:pPr>
        <w:pStyle w:val="BodyText"/>
      </w:pPr>
      <w:r>
        <w:t xml:space="preserve">Employment, salary, self-rated health, and good self-rated health do not have</w:t>
      </w:r>
      <w:r>
        <w:t xml:space="preserve"> </w:t>
      </w:r>
      <w:r>
        <w:t xml:space="preserve">headline q-values below 0.05. Salary is estimated on a much smaller sample</w:t>
      </w:r>
      <w:r>
        <w:t xml:space="preserve"> </w:t>
      </w:r>
      <w:r>
        <w:t xml:space="preserve">than the binary and health outcomes. In the full output, the absolute-profit</w:t>
      </w:r>
      <w:r>
        <w:t xml:space="preserve"> </w:t>
      </w:r>
      <w:r>
        <w:t xml:space="preserve">model has N = 168 and 11 treated observations; it is retained for auditability</w:t>
      </w:r>
      <w:r>
        <w:t xml:space="preserve"> </w:t>
      </w:r>
      <w:r>
        <w:t xml:space="preserve">but is not used to claim a monetary consequence.</w:t>
      </w:r>
    </w:p>
    <w:p>
      <w:pPr>
        <w:pStyle w:val="CaptionedFigure"/>
      </w:pPr>
      <w:r>
        <w:drawing>
          <ns2:inline>
            <ns2:extent cx="5334000" cy="3876975"/>
            <ns2:effectExtent b="0" l="0" r="0" t="0"/>
            <ns2:docPr descr="Figure 1. R3 adjusted coefficients with 95% confidence intervals." title="" id="19" name="Picture"/>
            <ns3:graphic>
              <ns3:graphicData uri="http://schemas.openxmlformats.org/drawingml/2006/picture">
                <ns4:pic>
                  <ns4:nvPicPr>
                    <ns4:cNvPr descr="../figures/first_pass_coefficients_R3.png" id="20" name="Picture"/>
                    <ns4:cNvPicPr>
                      <ns3:picLocks noChangeArrowheads="1" noChangeAspect="1"/>
                    </ns4:cNvPicPr>
                  </ns4:nvPicPr>
                  <ns4:blipFill>
                    <ns3:blip ns5:embed="rId18"/>
                    <ns3:stretch>
                      <ns3:fillRect/>
                    </ns3:stretch>
                  </ns4:blipFill>
                  <ns4:spPr bwMode="auto">
                    <ns3:xfrm>
                      <ns3:off x="0" y="0"/>
                      <ns3:ext cx="5334000" cy="3876975"/>
                    </ns3:xfrm>
                    <ns3:prstGeom prst="rect">
                      <ns3:avLst/>
                    </ns3:prstGeom>
                    <ns3:noFill/>
                    <ns3:ln w="9525">
                      <ns3:noFill/>
                      <ns3:headEnd/>
                      <ns3:tailEnd/>
                    </ns3:ln>
                  </ns4:spPr>
                </ns4:pic>
              </ns3:graphicData>
            </ns3:graphic>
          </ns2:inline>
        </w:drawing>
      </w:r>
    </w:p>
    <w:p>
      <w:pPr>
        <w:pStyle w:val="ImageCaption"/>
      </w:pPr>
      <w:r>
        <w:t xml:space="preserve">Figure 1. R3 adjusted coefficients with 95% confidence intervals.</w:t>
      </w:r>
    </w:p>
    <w:bookmarkEnd w:id="21"/>
    <w:bookmarkStart w:id="25" w:name="wave-and-age-band-support"/>
    <w:p>
      <w:pPr>
        <w:pStyle w:val="Heading3"/>
      </w:pPr>
      <w:r>
        <w:t xml:space="preserve">4.2 Wave and age-band support</w:t>
      </w:r>
    </w:p>
    <w:p>
      <w:pPr>
        <w:pStyle w:val="FirstParagraph"/>
      </w:pPr>
      <w:r>
        <w:t xml:space="preserve">The treatment prevalence diagnostic records 35 treated and 705 controls among</w:t>
      </w:r>
      <w:r>
        <w:t xml:space="preserve"> </w:t>
      </w:r>
      <w:r>
        <w:t xml:space="preserve">age-15 W2 observations, and 36 treated and 355 controls among age-15 W3</w:t>
      </w:r>
      <w:r>
        <w:t xml:space="preserve"> </w:t>
      </w:r>
      <w:r>
        <w:t xml:space="preserve">observations before the common-frame restrictions. It also records unresolved</w:t>
      </w:r>
      <w:r>
        <w:t xml:space="preserve"> </w:t>
      </w:r>
      <w:r>
        <w:t xml:space="preserve">work screens and hours. The younger age bands do not have comparable support:</w:t>
      </w:r>
      <w:r>
        <w:t xml:space="preserve"> </w:t>
      </w:r>
      <w:r>
        <w:t xml:space="preserve">age-10–11 observations are unresolved in the working extraction, while</w:t>
      </w:r>
      <w:r>
        <w:t xml:space="preserve"> </w:t>
      </w:r>
      <w:r>
        <w:t xml:space="preserve">age-12–14 treated observations are sparse. These counts motivate the locked</w:t>
      </w:r>
      <w:r>
        <w:t xml:space="preserve"> </w:t>
      </w:r>
      <w:r>
        <w:t xml:space="preserve">age-15 primary rather than a broad age-band treatment.</w:t>
      </w:r>
    </w:p>
    <w:p>
      <w:pPr>
        <w:pStyle w:val="CaptionedFigure"/>
      </w:pPr>
      <w:r>
        <w:drawing>
          <ns2:inline>
            <ns2:extent cx="5334000" cy="3879003"/>
            <ns2:effectExtent b="0" l="0" r="0" t="0"/>
            <ns2:docPr descr="Figure 2. R3 age-band support diagnostic." title="" id="23" name="Picture"/>
            <ns3:graphic>
              <ns3:graphicData uri="http://schemas.openxmlformats.org/drawingml/2006/picture">
                <ns4:pic>
                  <ns4:nvPicPr>
                    <ns4:cNvPr descr="../figures/r3_age_profile_classified.png" id="24" name="Picture"/>
                    <ns4:cNvPicPr>
                      <ns3:picLocks noChangeArrowheads="1" noChangeAspect="1"/>
                    </ns4:cNvPicPr>
                  </ns4:nvPicPr>
                  <ns4:blipFill>
                    <ns3:blip ns5:embed="rId22"/>
                    <ns3:stretch>
                      <ns3:fillRect/>
                    </ns3:stretch>
                  </ns4:blipFill>
                  <ns4:spPr bwMode="auto">
                    <ns3:xfrm>
                      <ns3:off x="0" y="0"/>
                      <ns3:ext cx="5334000" cy="3879003"/>
                    </ns3:xfrm>
                    <ns3:prstGeom prst="rect">
                      <ns3:avLst/>
                    </ns3:prstGeom>
                    <ns3:noFill/>
                    <ns3:ln w="9525">
                      <ns3:noFill/>
                      <ns3:headEnd/>
                      <ns3:tailEnd/>
                    </ns3:ln>
                  </ns4:spPr>
                </ns4:pic>
              </ns3:graphicData>
            </ns3:graphic>
          </ns2:inline>
        </w:drawing>
      </w:r>
    </w:p>
    <w:p>
      <w:pPr>
        <w:pStyle w:val="ImageCaption"/>
      </w:pPr>
      <w:r>
        <w:t xml:space="preserve">Figure 2. R3 age-band support diagnostic.</w:t>
      </w:r>
    </w:p>
    <w:bookmarkEnd w:id="25"/>
    <w:bookmarkEnd w:id="26"/>
    <w:bookmarkStart w:id="27" w:name="X08013653067c4e4174499bbf7da82b893d4ef1d"/>
    <w:p>
      <w:pPr>
        <w:pStyle w:val="Heading2"/>
      </w:pPr>
      <w:r>
        <w:t xml:space="preserve">5. Limitations and reviewer-facing boundaries</w:t>
      </w:r>
    </w:p>
    <w:p>
      <w:pPr>
        <w:pStyle w:val="FirstParagraph"/>
      </w:pPr>
      <w:r>
        <w:t xml:space="preserve">The first limitation is selection into work. The age-15 treatment is based on</w:t>
      </w:r>
      <w:r>
        <w:t xml:space="preserve"> </w:t>
      </w:r>
      <w:r>
        <w:t xml:space="preserve">work activity and hours in one reference week. It may proxy household poverty,</w:t>
      </w:r>
      <w:r>
        <w:t xml:space="preserve"> </w:t>
      </w:r>
      <w:r>
        <w:t xml:space="preserve">school access, local labour demand, health, preferences, and other factors</w:t>
      </w:r>
      <w:r>
        <w:t xml:space="preserve"> </w:t>
      </w:r>
      <w:r>
        <w:t xml:space="preserve">that also predict adult outcomes. W1 controls reduce measured differences but</w:t>
      </w:r>
      <w:r>
        <w:t xml:space="preserve"> </w:t>
      </w:r>
      <w:r>
        <w:t xml:space="preserve">do not establish exchangeability.</w:t>
      </w:r>
    </w:p>
    <w:p>
      <w:pPr>
        <w:pStyle w:val="BodyText"/>
      </w:pPr>
      <w:r>
        <w:t xml:space="preserve">The second limitation is support. There are 44 treated observations in the</w:t>
      </w:r>
      <w:r>
        <w:t xml:space="preserve"> </w:t>
      </w:r>
      <w:r>
        <w:t xml:space="preserve">common frame, and outcome-specific treated counts range from 17 to 43 for the</w:t>
      </w:r>
      <w:r>
        <w:t xml:space="preserve"> </w:t>
      </w:r>
      <w:r>
        <w:t xml:space="preserve">headline results. A few households can materially affect the estimates. The</w:t>
      </w:r>
      <w:r>
        <w:t xml:space="preserve"> </w:t>
      </w:r>
      <w:r>
        <w:t xml:space="preserve">wave indicator and household clustering address a defined part of the data</w:t>
      </w:r>
      <w:r>
        <w:t xml:space="preserve"> </w:t>
      </w:r>
      <w:r>
        <w:t xml:space="preserve">structure; they do not solve the small-cell or identification problem.</w:t>
      </w:r>
    </w:p>
    <w:p>
      <w:pPr>
        <w:pStyle w:val="BodyText"/>
      </w:pPr>
      <w:r>
        <w:t xml:space="preserve">The third limitation is attrition and missingness. The common frame requires</w:t>
      </w:r>
      <w:r>
        <w:t xml:space="preserve"> </w:t>
      </w:r>
      <w:r>
        <w:t xml:space="preserve">W1 linkage, W5 follow-up, and a valid value for each outcome. The outcome model</w:t>
      </w:r>
      <w:r>
        <w:t xml:space="preserve"> </w:t>
      </w:r>
      <w:r>
        <w:t xml:space="preserve">therefore has its own sample. Attrition correction and inverse-probability</w:t>
      </w:r>
      <w:r>
        <w:t xml:space="preserve"> </w:t>
      </w:r>
      <w:r>
        <w:t xml:space="preserve">sensitivity are parked, so the estimates should not be described as</w:t>
      </w:r>
      <w:r>
        <w:t xml:space="preserve"> </w:t>
      </w:r>
      <w:r>
        <w:t xml:space="preserve">population-average adult effects.</w:t>
      </w:r>
    </w:p>
    <w:p>
      <w:pPr>
        <w:pStyle w:val="BodyText"/>
      </w:pPr>
      <w:r>
        <w:t xml:space="preserve">The fourth limitation is measurement. The current primary screen measures</w:t>
      </w:r>
      <w:r>
        <w:t xml:space="preserve"> </w:t>
      </w:r>
      <w:r>
        <w:t xml:space="preserve">market work and weekly hours. It does not establish hazardous work, chores,</w:t>
      </w:r>
      <w:r>
        <w:t xml:space="preserve"> </w:t>
      </w:r>
      <w:r>
        <w:t xml:space="preserve">domestic labour, occupation-specific risk, or a complete measure of mental</w:t>
      </w:r>
      <w:r>
        <w:t xml:space="preserve"> </w:t>
      </w:r>
      <w:r>
        <w:t xml:space="preserve">health. W3 value-label support is also limited for some work-screen variables;</w:t>
      </w:r>
      <w:r>
        <w:t xml:space="preserve"> </w:t>
      </w:r>
      <w:r>
        <w:t xml:space="preserve">the numeric rule is retained as a documented constraint rather than treated as</w:t>
      </w:r>
      <w:r>
        <w:t xml:space="preserve"> </w:t>
      </w:r>
      <w:r>
        <w:t xml:space="preserve">more informative than the source permits.</w:t>
      </w:r>
    </w:p>
    <w:p>
      <w:pPr>
        <w:pStyle w:val="BodyText"/>
      </w:pPr>
      <w:r>
        <w:t xml:space="preserve">The fifth limitation is extrapolation. The current release does not have a</w:t>
      </w:r>
      <w:r>
        <w:t xml:space="preserve"> </w:t>
      </w:r>
      <w:r>
        <w:t xml:space="preserve">closed PCE/price-index bridge or a declared earnings projection. Consequently</w:t>
      </w:r>
      <w:r>
        <w:t xml:space="preserve"> </w:t>
      </w:r>
      <w:r>
        <w:t xml:space="preserve">it reports no NPV, national productivity loss, or policy-cost estimate.</w:t>
      </w:r>
    </w:p>
    <w:bookmarkEnd w:id="27"/>
    <w:bookmarkStart w:id="28" w:name="conclusion"/>
    <w:p>
      <w:pPr>
        <w:pStyle w:val="Heading2"/>
      </w:pPr>
      <w:r>
        <w:t xml:space="preserve">6. Conclusion</w:t>
      </w:r>
    </w:p>
    <w:p>
      <w:pPr>
        <w:pStyle w:val="FirstParagraph"/>
      </w:pPr>
      <w:r>
        <w:t xml:space="preserve">In the locked first-pass IFLS frame, intensive market work at age 15 is</w:t>
      </w:r>
      <w:r>
        <w:t xml:space="preserve"> </w:t>
      </w:r>
      <w:r>
        <w:t xml:space="preserve">associated with lower adult college attainment and higher adult</w:t>
      </w:r>
      <w:r>
        <w:t xml:space="preserve"> </w:t>
      </w:r>
      <w:r>
        <w:t xml:space="preserve">marriage/cohabitation and trust-item-3 scores after adjustment for measured</w:t>
      </w:r>
      <w:r>
        <w:t xml:space="preserve"> </w:t>
      </w:r>
      <w:r>
        <w:t xml:space="preserve">baseline controls and treatment wave. Other headline outcomes do not show</w:t>
      </w:r>
      <w:r>
        <w:t xml:space="preserve"> </w:t>
      </w:r>
      <w:r>
        <w:t xml:space="preserve">family-level q-values below 0.05. The findings are bounded associations in a</w:t>
      </w:r>
      <w:r>
        <w:t xml:space="preserve"> </w:t>
      </w:r>
      <w:r>
        <w:t xml:space="preserve">selected longitudinal sample, not causal effects. Before a stronger journal</w:t>
      </w:r>
      <w:r>
        <w:t xml:space="preserve"> </w:t>
      </w:r>
      <w:r>
        <w:t xml:space="preserve">claim is made, the project needs an explicit attrition strategy, verified</w:t>
      </w:r>
      <w:r>
        <w:t xml:space="preserve"> </w:t>
      </w:r>
      <w:r>
        <w:t xml:space="preserve">survey design, completed source-release provenance, and an identification</w:t>
      </w:r>
      <w:r>
        <w:t xml:space="preserve"> </w:t>
      </w:r>
      <w:r>
        <w:t xml:space="preserve">design that can support causal interpretation.</w:t>
      </w:r>
    </w:p>
    <w:bookmarkEnd w:id="28"/>
    <w:bookmarkStart w:id="29" w:name="declarations-for-author-completion"/>
    <w:p>
      <w:pPr>
        <w:pStyle w:val="Heading2"/>
      </w:pPr>
      <w:r>
        <w:t xml:space="preserve">Declarations for author completion</w:t>
      </w:r>
    </w:p>
    <w:p>
      <w:pPr>
        <w:pStyle w:val="FirstParagraph"/>
      </w:pPr>
      <w:r>
        <w:rPr>
          <w:b/>
          <w:bCs/>
        </w:rPr>
        <w:t xml:space="preserve">Data availability.</w:t>
      </w:r>
      <w:r>
        <w:t xml:space="preserve"> </w:t>
      </w:r>
      <w:r>
        <w:t xml:space="preserve">The project does not redistribute IFLS microdata. The</w:t>
      </w:r>
      <w:r>
        <w:t xml:space="preserve"> </w:t>
      </w:r>
      <w:r>
        <w:t xml:space="preserve">code, aggregate tables, figures, diagnostics, and reproducibility instructions</w:t>
      </w:r>
      <w:r>
        <w:t xml:space="preserve"> </w:t>
      </w:r>
      <w:r>
        <w:t xml:space="preserve">are local artifacts. Authors should obtain and cite the authorized IFLS files</w:t>
      </w:r>
      <w:r>
        <w:t xml:space="preserve"> </w:t>
      </w:r>
      <w:r>
        <w:t xml:space="preserve">through the official RAND documentation and comply with the applicable access</w:t>
      </w:r>
      <w:r>
        <w:t xml:space="preserve"> </w:t>
      </w:r>
      <w:r>
        <w:t xml:space="preserve">terms.</w:t>
      </w:r>
    </w:p>
    <w:p>
      <w:pPr>
        <w:pStyle w:val="BodyText"/>
      </w:pPr>
      <w:r>
        <w:rPr>
          <w:b/>
          <w:bCs/>
        </w:rPr>
        <w:t xml:space="preserve">Funding, conflicts of interest, ethics, acknowledgements, and author</w:t>
      </w:r>
      <w:r>
        <w:rPr>
          <w:b/>
          <w:bCs/>
        </w:rPr>
        <w:t xml:space="preserve"> </w:t>
      </w:r>
      <w:r>
        <w:rPr>
          <w:b/>
          <w:bCs/>
        </w:rPr>
        <w:t xml:space="preserve">contributions.</w:t>
      </w:r>
      <w:r>
        <w:t xml:space="preserve"> </w:t>
      </w:r>
      <w:r>
        <w:t xml:space="preserve">To be completed by the authors. No author metadata or</w:t>
      </w:r>
      <w:r>
        <w:t xml:space="preserve"> </w:t>
      </w:r>
      <w:r>
        <w:t xml:space="preserve">institutional statement is inferred from the supplied files.</w:t>
      </w:r>
    </w:p>
    <w:p>
      <w:pPr>
        <w:pStyle w:val="BodyText"/>
      </w:pPr>
      <w:r>
        <w:rPr>
          <w:b/>
          <w:bCs/>
        </w:rPr>
        <w:t xml:space="preserve">AI use statement.</w:t>
      </w:r>
      <w:r>
        <w:t xml:space="preserve"> </w:t>
      </w:r>
      <w:r>
        <w:t xml:space="preserve">AI-assisted drafting and organization were used during</w:t>
      </w:r>
      <w:r>
        <w:t xml:space="preserve"> </w:t>
      </w:r>
      <w:r>
        <w:t xml:space="preserve">the 5 September 2026 preparation of this internal draft. All reported</w:t>
      </w:r>
      <w:r>
        <w:t xml:space="preserve"> </w:t>
      </w:r>
      <w:r>
        <w:t xml:space="preserve">estimates were generated by the project’s Stata do-files and checked against</w:t>
      </w:r>
      <w:r>
        <w:t xml:space="preserve"> </w:t>
      </w:r>
      <w:r>
        <w:t xml:space="preserve">the saved aggregate CSV files and logs. AI did not modify the raw or derived</w:t>
      </w:r>
      <w:r>
        <w:t xml:space="preserve"> </w:t>
      </w:r>
      <w:r>
        <w:t xml:space="preserve">IFLS data, and restricted microdata and credentials were not disclosed in the</w:t>
      </w:r>
      <w:r>
        <w:t xml:space="preserve"> </w:t>
      </w:r>
      <w:r>
        <w:t xml:space="preserve">drafting process. The authors remain responsible for the final manuscript and</w:t>
      </w:r>
      <w:r>
        <w:t xml:space="preserve"> </w:t>
      </w:r>
      <w:r>
        <w:t xml:space="preserve">for adapting this statement to the target journal’s policy.</w:t>
      </w:r>
    </w:p>
    <w:bookmarkEnd w:id="29"/>
    <w:bookmarkStart w:id="30" w:name="references"/>
    <w:p>
      <w:pPr>
        <w:pStyle w:val="Heading2"/>
      </w:pPr>
      <w:r>
        <w:t xml:space="preserve">References</w:t>
      </w:r>
    </w:p>
    <w:p>
      <w:pPr>
        <w:pStyle w:val="FirstParagraph"/>
      </w:pPr>
      <w:r>
        <w:t xml:space="preserve">RAND Corporation. (2016).</w:t>
      </w:r>
      <w:r>
        <w:t xml:space="preserve"> </w:t>
      </w:r>
      <w:r>
        <w:rPr>
          <w:i/>
          <w:iCs/>
        </w:rPr>
        <w:t xml:space="preserve">The Fifth Wave of the Indonesia Family Life</w:t>
      </w:r>
      <w:r>
        <w:rPr>
          <w:i/>
          <w:iCs/>
        </w:rPr>
        <w:t xml:space="preserve"> </w:t>
      </w:r>
      <w:r>
        <w:rPr>
          <w:i/>
          <w:iCs/>
        </w:rPr>
        <w:t xml:space="preserve">Survey: Overview and Field Report</w:t>
      </w:r>
      <w:r>
        <w:t xml:space="preserve">. WR-1143/1-NIA/NICHD.</w:t>
      </w:r>
      <w:r>
        <w:t xml:space="preserve"> </w:t>
      </w:r>
      <w:r>
        <w:t xml:space="preserve">https://www.rand.org/content/dam/rand/pubs/working_papers/WR1100/WR1143z1/RAND_WR1143z1.pdf</w:t>
      </w:r>
    </w:p>
    <w:p>
      <w:pPr>
        <w:pStyle w:val="BodyText"/>
      </w:pPr>
      <w:r>
        <w:t xml:space="preserve">RAND Corporation. (n.d.-a).</w:t>
      </w:r>
      <w:r>
        <w:t xml:space="preserve"> </w:t>
      </w:r>
      <w:r>
        <w:rPr>
          <w:i/>
          <w:iCs/>
        </w:rPr>
        <w:t xml:space="preserve">Indonesia Family Life Survey</w:t>
      </w:r>
      <w:r>
        <w:t xml:space="preserve">.</w:t>
      </w:r>
      <w:r>
        <w:t xml:space="preserve"> </w:t>
      </w:r>
      <w:r>
        <w:t xml:space="preserve">https://www.rand.org/health/surveys/FLS/IFLS.html</w:t>
      </w:r>
    </w:p>
    <w:p>
      <w:pPr>
        <w:pStyle w:val="BodyText"/>
      </w:pPr>
      <w:r>
        <w:t xml:space="preserve">RAND Corporation. (n.d.-b).</w:t>
      </w:r>
      <w:r>
        <w:t xml:space="preserve"> </w:t>
      </w:r>
      <w:r>
        <w:rPr>
          <w:i/>
          <w:iCs/>
        </w:rPr>
        <w:t xml:space="preserve">The IFLS Study Design</w:t>
      </w:r>
      <w:r>
        <w:t xml:space="preserve">.</w:t>
      </w:r>
      <w:r>
        <w:t xml:space="preserve"> </w:t>
      </w:r>
      <w:r>
        <w:t xml:space="preserve">https://www.rand.org/health/surveys/FLS/IFLS/study.html</w:t>
      </w:r>
    </w:p>
    <w:p>
      <w:pPr>
        <w:pStyle w:val="BodyText"/>
      </w:pPr>
      <w:r>
        <w:t xml:space="preserve">RAND Corporation. (n.d.-c).</w:t>
      </w:r>
      <w:r>
        <w:t xml:space="preserve"> </w:t>
      </w:r>
      <w:r>
        <w:rPr>
          <w:i/>
          <w:iCs/>
        </w:rPr>
        <w:t xml:space="preserve">IFLS Data Updates, Data Notes, Tips, and FAQs</w:t>
      </w:r>
      <w:r>
        <w:t xml:space="preserve">.</w:t>
      </w:r>
      <w:r>
        <w:t xml:space="preserve"> </w:t>
      </w:r>
      <w:r>
        <w:t xml:space="preserve">https://www.rand.org/health/surveys/FLS/IFLS/datanotes.html</w:t>
      </w:r>
    </w:p>
    <w:p>
      <w:pPr>
        <w:pStyle w:val="BodyText"/>
      </w:pPr>
      <w:r>
        <w:t xml:space="preserve">RAND Corporation. (n.d.-d).</w:t>
      </w:r>
      <w:r>
        <w:t xml:space="preserve"> </w:t>
      </w:r>
      <w:r>
        <w:rPr>
          <w:i/>
          <w:iCs/>
        </w:rPr>
        <w:t xml:space="preserve">Register to Download Indonesian Family Life</w:t>
      </w:r>
      <w:r>
        <w:rPr>
          <w:i/>
          <w:iCs/>
        </w:rPr>
        <w:t xml:space="preserve"> </w:t>
      </w:r>
      <w:r>
        <w:rPr>
          <w:i/>
          <w:iCs/>
        </w:rPr>
        <w:t xml:space="preserve">Survey (IFLS) Data</w:t>
      </w:r>
      <w:r>
        <w:t xml:space="preserve">.</w:t>
      </w:r>
      <w:r>
        <w:t xml:space="preserve"> </w:t>
      </w:r>
      <w:r>
        <w:t xml:space="preserve">https://www.rand.org/health/surveys/FLS/IFLS/access.html</w:t>
      </w:r>
    </w:p>
    <w:bookmarkEnd w:id="30"/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8" Target="media/rId18.png" /><Relationship Type="http://schemas.openxmlformats.org/officeDocument/2006/relationships/image" Id="rId22" Target="media/rId2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2026-09-05T10:03:12Z</dcterms:created>
  <dcterms:modified xsi:type="dcterms:W3CDTF">2026-09-05T10:03:12Z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