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8F34" w14:textId="6C39B1B9" w:rsidR="00CC2135" w:rsidRPr="00CC2135" w:rsidRDefault="00CC2135" w:rsidP="00CC2135">
      <w:pPr>
        <w:pStyle w:val="NormalWeb"/>
        <w:jc w:val="center"/>
        <w:rPr>
          <w:b/>
          <w:bCs/>
          <w:sz w:val="32"/>
          <w:szCs w:val="32"/>
        </w:rPr>
      </w:pPr>
      <w:r w:rsidRPr="00CC2135">
        <w:rPr>
          <w:b/>
          <w:bCs/>
          <w:sz w:val="32"/>
          <w:szCs w:val="32"/>
        </w:rPr>
        <w:t>Mini-Lab: Logistic Regression and SVMs</w:t>
      </w:r>
    </w:p>
    <w:p w14:paraId="22349477" w14:textId="553719E1" w:rsidR="00CC2135" w:rsidRPr="00CC2135" w:rsidRDefault="00CC2135" w:rsidP="00CC2135">
      <w:pPr>
        <w:pStyle w:val="NormalWeb"/>
        <w:jc w:val="center"/>
      </w:pPr>
      <w:r w:rsidRPr="00CC2135">
        <w:t>Summary</w:t>
      </w:r>
    </w:p>
    <w:p w14:paraId="630B30E1" w14:textId="482315B1" w:rsidR="00CC2135" w:rsidRPr="00CC2135" w:rsidRDefault="00CC2135" w:rsidP="00CC2135">
      <w:pPr>
        <w:pStyle w:val="Heading1"/>
        <w:shd w:val="clear" w:color="auto" w:fill="FFFFFF"/>
        <w:spacing w:before="0" w:after="240" w:line="240" w:lineRule="auto"/>
        <w:ind w:firstLine="720"/>
        <w:jc w:val="both"/>
        <w:textAlignment w:val="baseline"/>
        <w:rPr>
          <w:rFonts w:ascii="Times New Roman" w:hAnsi="Times New Roman" w:cs="Times New Roman"/>
          <w:color w:val="auto"/>
          <w:sz w:val="24"/>
          <w:szCs w:val="24"/>
        </w:rPr>
      </w:pPr>
      <w:r w:rsidRPr="00CC2135">
        <w:rPr>
          <w:rFonts w:ascii="Times New Roman" w:hAnsi="Times New Roman" w:cs="Times New Roman"/>
          <w:color w:val="auto"/>
          <w:sz w:val="24"/>
          <w:szCs w:val="24"/>
        </w:rPr>
        <w:t>This mini-lab developed and evaluated two classification models</w:t>
      </w:r>
      <w:r w:rsidRPr="00CC2135">
        <w:rPr>
          <w:rFonts w:ascii="Times New Roman" w:hAnsi="Times New Roman" w:cs="Times New Roman"/>
          <w:color w:val="auto"/>
          <w:sz w:val="24"/>
          <w:szCs w:val="24"/>
        </w:rPr>
        <w:t xml:space="preserve"> which consisted of, </w:t>
      </w:r>
      <w:r w:rsidRPr="00CC2135">
        <w:rPr>
          <w:rFonts w:ascii="Times New Roman" w:hAnsi="Times New Roman" w:cs="Times New Roman"/>
          <w:color w:val="auto"/>
          <w:sz w:val="24"/>
          <w:szCs w:val="24"/>
        </w:rPr>
        <w:t>Logistic Regression and linear Support Vector</w:t>
      </w:r>
      <w:r w:rsidRPr="00CC2135">
        <w:rPr>
          <w:rFonts w:ascii="Times New Roman" w:hAnsi="Times New Roman" w:cs="Times New Roman"/>
          <w:color w:val="auto"/>
          <w:sz w:val="24"/>
          <w:szCs w:val="24"/>
        </w:rPr>
        <w:t xml:space="preserve"> Machine, </w:t>
      </w:r>
      <w:r w:rsidRPr="00CC2135">
        <w:rPr>
          <w:rFonts w:ascii="Times New Roman" w:hAnsi="Times New Roman" w:cs="Times New Roman"/>
          <w:color w:val="auto"/>
          <w:sz w:val="24"/>
          <w:szCs w:val="24"/>
        </w:rPr>
        <w:t>to predict credit card default using</w:t>
      </w:r>
      <w:r w:rsidRPr="00CC2135">
        <w:rPr>
          <w:rFonts w:ascii="Times New Roman" w:hAnsi="Times New Roman" w:cs="Times New Roman"/>
          <w:color w:val="auto"/>
          <w:sz w:val="24"/>
          <w:szCs w:val="24"/>
        </w:rPr>
        <w:t xml:space="preserve"> the</w:t>
      </w:r>
      <w:r w:rsidRPr="00CC2135">
        <w:rPr>
          <w:rFonts w:ascii="Times New Roman" w:hAnsi="Times New Roman" w:cs="Times New Roman"/>
          <w:color w:val="auto"/>
          <w:sz w:val="24"/>
          <w:szCs w:val="24"/>
        </w:rPr>
        <w:t xml:space="preserve"> </w:t>
      </w:r>
      <w:r w:rsidRPr="00CC2135">
        <w:rPr>
          <w:rFonts w:ascii="Times New Roman" w:eastAsia="Times New Roman" w:hAnsi="Times New Roman" w:cs="Times New Roman"/>
          <w:color w:val="auto"/>
          <w:kern w:val="36"/>
          <w:sz w:val="24"/>
          <w:szCs w:val="24"/>
          <w14:ligatures w14:val="none"/>
        </w:rPr>
        <w:t>Default of Credit Card Clients</w:t>
      </w:r>
      <w:r w:rsidRPr="00CC2135">
        <w:rPr>
          <w:rFonts w:ascii="Times New Roman" w:eastAsia="Times New Roman" w:hAnsi="Times New Roman" w:cs="Times New Roman"/>
          <w:color w:val="auto"/>
          <w:kern w:val="36"/>
          <w:sz w:val="24"/>
          <w:szCs w:val="24"/>
          <w14:ligatures w14:val="none"/>
        </w:rPr>
        <w:t xml:space="preserve"> </w:t>
      </w:r>
      <w:r w:rsidRPr="00CC2135">
        <w:rPr>
          <w:rFonts w:ascii="Times New Roman" w:hAnsi="Times New Roman" w:cs="Times New Roman"/>
          <w:color w:val="auto"/>
          <w:sz w:val="24"/>
          <w:szCs w:val="24"/>
        </w:rPr>
        <w:t>dataset</w:t>
      </w:r>
      <w:r w:rsidRPr="00CC2135">
        <w:rPr>
          <w:rFonts w:ascii="Times New Roman" w:hAnsi="Times New Roman" w:cs="Times New Roman"/>
          <w:color w:val="auto"/>
          <w:sz w:val="24"/>
          <w:szCs w:val="24"/>
        </w:rPr>
        <w:t xml:space="preserve"> provided by koggle.com</w:t>
      </w:r>
      <w:r w:rsidRPr="00CC2135">
        <w:rPr>
          <w:rFonts w:ascii="Times New Roman" w:hAnsi="Times New Roman" w:cs="Times New Roman"/>
          <w:color w:val="auto"/>
          <w:sz w:val="24"/>
          <w:szCs w:val="24"/>
        </w:rPr>
        <w:t>.</w:t>
      </w:r>
      <w:r w:rsidRPr="00CC2135">
        <w:rPr>
          <w:rFonts w:ascii="Times New Roman" w:hAnsi="Times New Roman" w:cs="Times New Roman"/>
          <w:color w:val="auto"/>
          <w:sz w:val="24"/>
          <w:szCs w:val="24"/>
        </w:rPr>
        <w:t xml:space="preserve"> </w:t>
      </w:r>
      <w:r w:rsidRPr="00CC2135">
        <w:rPr>
          <w:rFonts w:ascii="Times New Roman" w:hAnsi="Times New Roman" w:cs="Times New Roman"/>
          <w:color w:val="auto"/>
          <w:sz w:val="24"/>
          <w:szCs w:val="24"/>
        </w:rPr>
        <w:t>After loading the data, a consistent set of assumptions was applied to ensure reproducibility across the analysis. Data preprocessing focused on retaining valid categorical values</w:t>
      </w:r>
      <w:r w:rsidRPr="00CC2135">
        <w:rPr>
          <w:rFonts w:ascii="Times New Roman" w:hAnsi="Times New Roman" w:cs="Times New Roman"/>
          <w:color w:val="auto"/>
          <w:sz w:val="24"/>
          <w:szCs w:val="24"/>
        </w:rPr>
        <w:t>;</w:t>
      </w:r>
      <w:r w:rsidRPr="00CC2135">
        <w:rPr>
          <w:rFonts w:ascii="Times New Roman" w:hAnsi="Times New Roman" w:cs="Times New Roman"/>
          <w:color w:val="auto"/>
          <w:sz w:val="24"/>
          <w:szCs w:val="24"/>
        </w:rPr>
        <w:t xml:space="preserve"> clearly defining the response variable as credit card default, and partitioning the data into training and testing sets using a fixed random seed with stratification to preserve class balance.</w:t>
      </w:r>
      <w:r w:rsidRPr="00CC2135">
        <w:rPr>
          <w:sz w:val="24"/>
          <w:szCs w:val="24"/>
        </w:rPr>
        <w:t xml:space="preserve"> </w:t>
      </w:r>
      <w:r w:rsidRPr="00CC2135">
        <w:rPr>
          <w:rFonts w:ascii="Times New Roman" w:hAnsi="Times New Roman" w:cs="Times New Roman"/>
          <w:color w:val="auto"/>
          <w:sz w:val="24"/>
          <w:szCs w:val="24"/>
        </w:rPr>
        <w:t>Because the predictor variables were measured on different numeric scales, standardization was applied prior to model fitting. Model performance was then assessed on the test set using accuracy, confusion matrices, and ROC</w:t>
      </w:r>
      <w:r w:rsidRPr="00CC2135">
        <w:rPr>
          <w:rFonts w:ascii="Times New Roman" w:hAnsi="Times New Roman" w:cs="Times New Roman"/>
          <w:color w:val="auto"/>
          <w:sz w:val="24"/>
          <w:szCs w:val="24"/>
        </w:rPr>
        <w:t>/</w:t>
      </w:r>
      <w:r w:rsidRPr="00CC2135">
        <w:rPr>
          <w:rFonts w:ascii="Times New Roman" w:hAnsi="Times New Roman" w:cs="Times New Roman"/>
          <w:color w:val="auto"/>
          <w:sz w:val="24"/>
          <w:szCs w:val="24"/>
        </w:rPr>
        <w:t>AUC.</w:t>
      </w:r>
      <w:r w:rsidRPr="00CC2135">
        <w:rPr>
          <w:rFonts w:ascii="Times New Roman" w:hAnsi="Times New Roman" w:cs="Times New Roman"/>
          <w:color w:val="auto"/>
          <w:sz w:val="24"/>
          <w:szCs w:val="24"/>
        </w:rPr>
        <w:t xml:space="preserve"> Our findings showed that </w:t>
      </w:r>
      <w:r w:rsidRPr="00CC2135">
        <w:rPr>
          <w:rFonts w:ascii="Times New Roman" w:hAnsi="Times New Roman" w:cs="Times New Roman"/>
          <w:color w:val="auto"/>
          <w:sz w:val="24"/>
          <w:szCs w:val="24"/>
        </w:rPr>
        <w:t>Logistic Regression achieved an accuracy of approximately 81% with a ROC</w:t>
      </w:r>
      <w:r w:rsidRPr="00CC2135">
        <w:rPr>
          <w:rFonts w:ascii="Times New Roman" w:hAnsi="Times New Roman" w:cs="Times New Roman"/>
          <w:color w:val="auto"/>
          <w:sz w:val="24"/>
          <w:szCs w:val="24"/>
        </w:rPr>
        <w:t>/</w:t>
      </w:r>
      <w:r w:rsidRPr="00CC2135">
        <w:rPr>
          <w:rFonts w:ascii="Times New Roman" w:hAnsi="Times New Roman" w:cs="Times New Roman"/>
          <w:color w:val="auto"/>
          <w:sz w:val="24"/>
          <w:szCs w:val="24"/>
        </w:rPr>
        <w:t>AUC around 0.74, while the linear SVM produced</w:t>
      </w:r>
      <w:r w:rsidRPr="00CC2135">
        <w:rPr>
          <w:rFonts w:ascii="Times New Roman" w:hAnsi="Times New Roman" w:cs="Times New Roman"/>
          <w:color w:val="auto"/>
          <w:sz w:val="24"/>
          <w:szCs w:val="24"/>
        </w:rPr>
        <w:t xml:space="preserve"> a</w:t>
      </w:r>
      <w:r w:rsidRPr="00CC2135">
        <w:rPr>
          <w:rFonts w:ascii="Times New Roman" w:hAnsi="Times New Roman" w:cs="Times New Roman"/>
          <w:color w:val="auto"/>
          <w:sz w:val="24"/>
          <w:szCs w:val="24"/>
        </w:rPr>
        <w:t xml:space="preserve"> comparable accuracy but a </w:t>
      </w:r>
      <w:r w:rsidRPr="00CC2135">
        <w:rPr>
          <w:rFonts w:ascii="Times New Roman" w:hAnsi="Times New Roman" w:cs="Times New Roman"/>
          <w:color w:val="auto"/>
          <w:sz w:val="24"/>
          <w:szCs w:val="24"/>
        </w:rPr>
        <w:t>l</w:t>
      </w:r>
      <w:r w:rsidRPr="00CC2135">
        <w:rPr>
          <w:rFonts w:ascii="Times New Roman" w:hAnsi="Times New Roman" w:cs="Times New Roman"/>
          <w:color w:val="auto"/>
          <w:sz w:val="24"/>
          <w:szCs w:val="24"/>
        </w:rPr>
        <w:t>ower ROC</w:t>
      </w:r>
      <w:r w:rsidRPr="00CC2135">
        <w:rPr>
          <w:rFonts w:ascii="Times New Roman" w:hAnsi="Times New Roman" w:cs="Times New Roman"/>
          <w:color w:val="auto"/>
          <w:sz w:val="24"/>
          <w:szCs w:val="24"/>
        </w:rPr>
        <w:t>/</w:t>
      </w:r>
      <w:r w:rsidRPr="00CC2135">
        <w:rPr>
          <w:rFonts w:ascii="Times New Roman" w:hAnsi="Times New Roman" w:cs="Times New Roman"/>
          <w:color w:val="auto"/>
          <w:sz w:val="24"/>
          <w:szCs w:val="24"/>
        </w:rPr>
        <w:t xml:space="preserve">AUC near 0.71. </w:t>
      </w:r>
      <w:r w:rsidRPr="00CC2135">
        <w:rPr>
          <w:rFonts w:ascii="Times New Roman" w:hAnsi="Times New Roman" w:cs="Times New Roman"/>
          <w:color w:val="auto"/>
          <w:sz w:val="24"/>
          <w:szCs w:val="24"/>
        </w:rPr>
        <w:t>Furthermore, p</w:t>
      </w:r>
      <w:r w:rsidRPr="00CC2135">
        <w:rPr>
          <w:rFonts w:ascii="Times New Roman" w:hAnsi="Times New Roman" w:cs="Times New Roman"/>
          <w:color w:val="auto"/>
          <w:sz w:val="24"/>
          <w:szCs w:val="24"/>
        </w:rPr>
        <w:t>arameter tuning of the SVM through adjustments to the regularization parameter resulted in only minor performance changes, indicating model stability but no improvement over Logistic Regression in distinguishing between defaulters and non-defaulters.</w:t>
      </w:r>
    </w:p>
    <w:p w14:paraId="3F5F1535" w14:textId="73B3194B" w:rsidR="00CC2135" w:rsidRPr="00CC2135" w:rsidRDefault="00CC2135" w:rsidP="00CC2135">
      <w:pPr>
        <w:pStyle w:val="NormalWeb"/>
        <w:ind w:firstLine="720"/>
        <w:jc w:val="both"/>
        <w:rPr>
          <w:b/>
          <w:bCs/>
        </w:rPr>
      </w:pPr>
      <w:r w:rsidRPr="00CC2135">
        <w:t xml:space="preserve">Overall, both models performed well at identifying </w:t>
      </w:r>
      <w:r w:rsidRPr="00CC2135">
        <w:rPr>
          <w:rStyle w:val="Strong"/>
          <w:rFonts w:eastAsiaTheme="majorEastAsia"/>
          <w:b w:val="0"/>
          <w:bCs w:val="0"/>
        </w:rPr>
        <w:t>non-defaulters</w:t>
      </w:r>
      <w:r w:rsidRPr="00CC2135">
        <w:t>, but both struggled to catch all true defaulters, reflecting the difficulty of the task and the overlap between classes. Logistic Regression offered the best balance of performance and interpretability</w:t>
      </w:r>
      <w:r w:rsidRPr="00CC2135">
        <w:t xml:space="preserve">, </w:t>
      </w:r>
      <w:r w:rsidRPr="00CC2135">
        <w:t xml:space="preserve">its learned weights provided clear feature importance insights, where the most influential variables were </w:t>
      </w:r>
      <w:r w:rsidRPr="00CC2135">
        <w:rPr>
          <w:rStyle w:val="Strong"/>
          <w:rFonts w:eastAsiaTheme="majorEastAsia"/>
          <w:b w:val="0"/>
          <w:bCs w:val="0"/>
        </w:rPr>
        <w:t>recent repayment status</w:t>
      </w:r>
      <w:r w:rsidRPr="00CC2135">
        <w:rPr>
          <w:rStyle w:val="Strong"/>
          <w:rFonts w:eastAsiaTheme="majorEastAsia"/>
        </w:rPr>
        <w:t xml:space="preserve"> </w:t>
      </w:r>
      <w:r w:rsidRPr="00CC2135">
        <w:t>and recent balance</w:t>
      </w:r>
      <w:r w:rsidRPr="00CC2135">
        <w:t xml:space="preserve"> </w:t>
      </w:r>
      <w:r w:rsidRPr="00CC2135">
        <w:t>payment behavior. This is expected because repayment history and recent financial behavior directly reflect credit risk, whereas many demographic</w:t>
      </w:r>
      <w:r w:rsidRPr="00CC2135">
        <w:t xml:space="preserve"> </w:t>
      </w:r>
      <w:r w:rsidRPr="00CC2135">
        <w:t>account fields tend to be weaker signals.</w:t>
      </w:r>
      <w:r w:rsidRPr="00CC2135">
        <w:t xml:space="preserve"> In addition,</w:t>
      </w:r>
      <w:r w:rsidRPr="00CC2135">
        <w:t xml:space="preserve"> </w:t>
      </w:r>
      <w:r w:rsidRPr="00CC2135">
        <w:t>t</w:t>
      </w:r>
      <w:r w:rsidRPr="00CC2135">
        <w:t xml:space="preserve">he SVM provided an additional perspective through </w:t>
      </w:r>
      <w:r w:rsidRPr="00CC2135">
        <w:rPr>
          <w:rStyle w:val="Strong"/>
          <w:rFonts w:eastAsiaTheme="majorEastAsia"/>
          <w:b w:val="0"/>
          <w:bCs w:val="0"/>
        </w:rPr>
        <w:t>support vectors</w:t>
      </w:r>
      <w:r w:rsidRPr="00CC2135">
        <w:rPr>
          <w:b/>
          <w:bCs/>
        </w:rPr>
        <w:t xml:space="preserve"> </w:t>
      </w:r>
      <w:r w:rsidRPr="00CC2135">
        <w:t>and</w:t>
      </w:r>
      <w:r w:rsidRPr="00CC2135">
        <w:t xml:space="preserve"> the model relied on thousands of borderline observations from both classes</w:t>
      </w:r>
      <w:r w:rsidRPr="00CC2135">
        <w:t xml:space="preserve">, </w:t>
      </w:r>
      <w:r w:rsidRPr="00CC2135">
        <w:rPr>
          <w:rStyle w:val="Strong"/>
          <w:rFonts w:eastAsiaTheme="majorEastAsia"/>
          <w:b w:val="0"/>
          <w:bCs w:val="0"/>
        </w:rPr>
        <w:t>6402</w:t>
      </w:r>
      <w:r w:rsidRPr="00CC2135">
        <w:rPr>
          <w:rStyle w:val="Strong"/>
          <w:rFonts w:eastAsiaTheme="majorEastAsia"/>
          <w:b w:val="0"/>
          <w:bCs w:val="0"/>
        </w:rPr>
        <w:t xml:space="preserve"> and </w:t>
      </w:r>
      <w:r w:rsidRPr="00CC2135">
        <w:rPr>
          <w:rStyle w:val="Strong"/>
          <w:rFonts w:eastAsiaTheme="majorEastAsia"/>
          <w:b w:val="0"/>
          <w:bCs w:val="0"/>
        </w:rPr>
        <w:t>5242</w:t>
      </w:r>
      <w:r w:rsidRPr="00CC2135">
        <w:t>, indicating that many customers fall near the decision boundary with mixed signals</w:t>
      </w:r>
      <w:r w:rsidRPr="00CC2135">
        <w:t xml:space="preserve">, </w:t>
      </w:r>
      <w:r w:rsidRPr="00CC2135">
        <w:t>moderate balances</w:t>
      </w:r>
      <w:r w:rsidRPr="00CC2135">
        <w:t xml:space="preserve">, and </w:t>
      </w:r>
      <w:r w:rsidRPr="00CC2135">
        <w:t>inconsistent payments</w:t>
      </w:r>
      <w:r w:rsidRPr="00CC2135">
        <w:t>;</w:t>
      </w:r>
      <w:r w:rsidRPr="00CC2135">
        <w:t xml:space="preserve"> which helps explain why major performance gains from tuning were limited. Together, these steps produce</w:t>
      </w:r>
      <w:r w:rsidRPr="00CC2135">
        <w:t xml:space="preserve">d </w:t>
      </w:r>
      <w:r w:rsidRPr="00CC2135">
        <w:t xml:space="preserve">a clear </w:t>
      </w:r>
      <w:r w:rsidRPr="00CC2135">
        <w:t xml:space="preserve">conclusion, </w:t>
      </w:r>
      <w:r w:rsidRPr="00CC2135">
        <w:rPr>
          <w:rStyle w:val="Strong"/>
          <w:rFonts w:eastAsiaTheme="majorEastAsia"/>
          <w:b w:val="0"/>
          <w:bCs w:val="0"/>
        </w:rPr>
        <w:t>logistic regression provides stronger interpretability for credit-default decision support.</w:t>
      </w:r>
    </w:p>
    <w:p w14:paraId="0AAC7CDF" w14:textId="77777777" w:rsidR="00CC2135" w:rsidRPr="00BF2A45" w:rsidRDefault="00CC2135" w:rsidP="00BF2A45">
      <w:pPr>
        <w:rPr>
          <w:b/>
          <w:bCs/>
        </w:rPr>
      </w:pPr>
    </w:p>
    <w:sectPr w:rsidR="00CC2135" w:rsidRPr="00BF2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45"/>
    <w:rsid w:val="002E3CEE"/>
    <w:rsid w:val="009B5460"/>
    <w:rsid w:val="00AC7941"/>
    <w:rsid w:val="00BF2A45"/>
    <w:rsid w:val="00CC2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8974"/>
  <w15:chartTrackingRefBased/>
  <w15:docId w15:val="{65482C1F-A9DF-46B6-A939-5BE615E8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45"/>
    <w:rPr>
      <w:rFonts w:eastAsiaTheme="majorEastAsia" w:cstheme="majorBidi"/>
      <w:color w:val="272727" w:themeColor="text1" w:themeTint="D8"/>
    </w:rPr>
  </w:style>
  <w:style w:type="paragraph" w:styleId="Title">
    <w:name w:val="Title"/>
    <w:basedOn w:val="Normal"/>
    <w:next w:val="Normal"/>
    <w:link w:val="TitleChar"/>
    <w:uiPriority w:val="10"/>
    <w:qFormat/>
    <w:rsid w:val="00BF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A45"/>
    <w:pPr>
      <w:spacing w:before="160"/>
      <w:jc w:val="center"/>
    </w:pPr>
    <w:rPr>
      <w:i/>
      <w:iCs/>
      <w:color w:val="404040" w:themeColor="text1" w:themeTint="BF"/>
    </w:rPr>
  </w:style>
  <w:style w:type="character" w:customStyle="1" w:styleId="QuoteChar">
    <w:name w:val="Quote Char"/>
    <w:basedOn w:val="DefaultParagraphFont"/>
    <w:link w:val="Quote"/>
    <w:uiPriority w:val="29"/>
    <w:rsid w:val="00BF2A45"/>
    <w:rPr>
      <w:i/>
      <w:iCs/>
      <w:color w:val="404040" w:themeColor="text1" w:themeTint="BF"/>
    </w:rPr>
  </w:style>
  <w:style w:type="paragraph" w:styleId="ListParagraph">
    <w:name w:val="List Paragraph"/>
    <w:basedOn w:val="Normal"/>
    <w:uiPriority w:val="34"/>
    <w:qFormat/>
    <w:rsid w:val="00BF2A45"/>
    <w:pPr>
      <w:ind w:left="720"/>
      <w:contextualSpacing/>
    </w:pPr>
  </w:style>
  <w:style w:type="character" w:styleId="IntenseEmphasis">
    <w:name w:val="Intense Emphasis"/>
    <w:basedOn w:val="DefaultParagraphFont"/>
    <w:uiPriority w:val="21"/>
    <w:qFormat/>
    <w:rsid w:val="00BF2A45"/>
    <w:rPr>
      <w:i/>
      <w:iCs/>
      <w:color w:val="0F4761" w:themeColor="accent1" w:themeShade="BF"/>
    </w:rPr>
  </w:style>
  <w:style w:type="paragraph" w:styleId="IntenseQuote">
    <w:name w:val="Intense Quote"/>
    <w:basedOn w:val="Normal"/>
    <w:next w:val="Normal"/>
    <w:link w:val="IntenseQuoteChar"/>
    <w:uiPriority w:val="30"/>
    <w:qFormat/>
    <w:rsid w:val="00BF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A45"/>
    <w:rPr>
      <w:i/>
      <w:iCs/>
      <w:color w:val="0F4761" w:themeColor="accent1" w:themeShade="BF"/>
    </w:rPr>
  </w:style>
  <w:style w:type="character" w:styleId="IntenseReference">
    <w:name w:val="Intense Reference"/>
    <w:basedOn w:val="DefaultParagraphFont"/>
    <w:uiPriority w:val="32"/>
    <w:qFormat/>
    <w:rsid w:val="00BF2A45"/>
    <w:rPr>
      <w:b/>
      <w:bCs/>
      <w:smallCaps/>
      <w:color w:val="0F4761" w:themeColor="accent1" w:themeShade="BF"/>
      <w:spacing w:val="5"/>
    </w:rPr>
  </w:style>
  <w:style w:type="character" w:styleId="Strong">
    <w:name w:val="Strong"/>
    <w:basedOn w:val="DefaultParagraphFont"/>
    <w:uiPriority w:val="22"/>
    <w:qFormat/>
    <w:rsid w:val="00BF2A45"/>
    <w:rPr>
      <w:b/>
      <w:bCs/>
    </w:rPr>
  </w:style>
  <w:style w:type="paragraph" w:styleId="NormalWeb">
    <w:name w:val="Normal (Web)"/>
    <w:basedOn w:val="Normal"/>
    <w:uiPriority w:val="99"/>
    <w:semiHidden/>
    <w:unhideWhenUsed/>
    <w:rsid w:val="00CC21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46041">
      <w:bodyDiv w:val="1"/>
      <w:marLeft w:val="0"/>
      <w:marRight w:val="0"/>
      <w:marTop w:val="0"/>
      <w:marBottom w:val="0"/>
      <w:divBdr>
        <w:top w:val="none" w:sz="0" w:space="0" w:color="auto"/>
        <w:left w:val="none" w:sz="0" w:space="0" w:color="auto"/>
        <w:bottom w:val="none" w:sz="0" w:space="0" w:color="auto"/>
        <w:right w:val="none" w:sz="0" w:space="0" w:color="auto"/>
      </w:divBdr>
    </w:div>
    <w:div w:id="472719230">
      <w:bodyDiv w:val="1"/>
      <w:marLeft w:val="0"/>
      <w:marRight w:val="0"/>
      <w:marTop w:val="0"/>
      <w:marBottom w:val="0"/>
      <w:divBdr>
        <w:top w:val="none" w:sz="0" w:space="0" w:color="auto"/>
        <w:left w:val="none" w:sz="0" w:space="0" w:color="auto"/>
        <w:bottom w:val="none" w:sz="0" w:space="0" w:color="auto"/>
        <w:right w:val="none" w:sz="0" w:space="0" w:color="auto"/>
      </w:divBdr>
    </w:div>
    <w:div w:id="541019523">
      <w:bodyDiv w:val="1"/>
      <w:marLeft w:val="0"/>
      <w:marRight w:val="0"/>
      <w:marTop w:val="0"/>
      <w:marBottom w:val="0"/>
      <w:divBdr>
        <w:top w:val="none" w:sz="0" w:space="0" w:color="auto"/>
        <w:left w:val="none" w:sz="0" w:space="0" w:color="auto"/>
        <w:bottom w:val="none" w:sz="0" w:space="0" w:color="auto"/>
        <w:right w:val="none" w:sz="0" w:space="0" w:color="auto"/>
      </w:divBdr>
    </w:div>
    <w:div w:id="754479611">
      <w:bodyDiv w:val="1"/>
      <w:marLeft w:val="0"/>
      <w:marRight w:val="0"/>
      <w:marTop w:val="0"/>
      <w:marBottom w:val="0"/>
      <w:divBdr>
        <w:top w:val="none" w:sz="0" w:space="0" w:color="auto"/>
        <w:left w:val="none" w:sz="0" w:space="0" w:color="auto"/>
        <w:bottom w:val="none" w:sz="0" w:space="0" w:color="auto"/>
        <w:right w:val="none" w:sz="0" w:space="0" w:color="auto"/>
      </w:divBdr>
    </w:div>
    <w:div w:id="150840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5879</TotalTime>
  <Pages>1</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Camara</dc:creator>
  <cp:keywords/>
  <dc:description/>
  <cp:lastModifiedBy>S Camara</cp:lastModifiedBy>
  <cp:revision>1</cp:revision>
  <dcterms:created xsi:type="dcterms:W3CDTF">2026-01-22T21:32:00Z</dcterms:created>
  <dcterms:modified xsi:type="dcterms:W3CDTF">2026-02-06T04:21:00Z</dcterms:modified>
</cp:coreProperties>
</file>