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6213E"/>
          <w:sz w:val="52"/>
        </w:rPr>
        <w:t>Profit Leakage &amp; Festive Growth Analysis</w:t>
      </w:r>
    </w:p>
    <w:p>
      <w:pPr>
        <w:jc w:val="center"/>
      </w:pPr>
      <w:r>
        <w:rPr>
          <w:color w:val="FF9933"/>
          <w:sz w:val="28"/>
        </w:rPr>
        <w:t>Indian Retail Business Intelligence Dashboard</w:t>
      </w:r>
    </w:p>
    <w:p/>
    <w:p>
      <w:pPr>
        <w:jc w:val="center"/>
      </w:pPr>
      <w:r>
        <w:rPr>
          <w:color w:val="6C757D"/>
          <w:sz w:val="22"/>
        </w:rPr>
        <w:t>Project Report  |  Python + Dash + Plotly + scikit-learn</w:t>
        <w:br/>
        <w:t>Dataset: sales_data.csv  |  20,000 Orders  |  2023-2025</w:t>
        <w:br/>
        <w:t>Generated: 05 October 2026</w:t>
      </w:r>
    </w:p>
    <w:p>
      <w:r>
        <w:br w:type="page"/>
      </w:r>
    </w:p>
    <w:p>
      <w:pPr>
        <w:spacing w:before="240" w:after="80"/>
        <w:jc w:val="left"/>
      </w:pPr>
      <w:r>
        <w:rPr>
          <w:b/>
          <w:color w:val="16213E"/>
          <w:sz w:val="32"/>
        </w:rPr>
        <w:t>1.  Project Overview</w:t>
      </w:r>
    </w:p>
    <w:p>
      <w:pPr>
        <w:spacing w:after="80"/>
      </w:pPr>
      <w:r>
        <w:rPr>
          <w:sz w:val="22"/>
        </w:rPr>
        <w:t>This project delivers a full-stack interactive Business Intelligence (BI) dashboard built entirely in Python to analyse 20,000 retail transactions from an Indian retail business covering the period January 2023 to December 2025. The dashboard is designed to address two core business challenges: identifying profit leakage caused by excessive discounting, and measuring the impact of Indian festive seasons on sales growth.</w:t>
      </w:r>
    </w:p>
    <w:p>
      <w:pPr>
        <w:spacing w:after="80"/>
      </w:pPr>
      <w:r>
        <w:rPr>
          <w:sz w:val="22"/>
        </w:rPr>
        <w:t>The application is structured as a single self-contained Python file (main_app.py) that integrates a data analytics backend, two trained machine learning models, and a Dash-based web frontend with five interactive analysis tabs.</w:t>
      </w:r>
    </w:p>
    <w:p/>
    <w:p>
      <w:pPr>
        <w:spacing w:before="240" w:after="80"/>
        <w:jc w:val="left"/>
      </w:pPr>
      <w:r>
        <w:rPr>
          <w:b/>
          <w:color w:val="FF6B35"/>
          <w:sz w:val="26"/>
        </w:rPr>
        <w:t>1.1  Objectives</w:t>
      </w:r>
    </w:p>
    <w:p>
      <w:pPr>
        <w:pStyle w:val="ListBullet"/>
      </w:pPr>
      <w:r>
        <w:rPr>
          <w:sz w:val="22"/>
        </w:rPr>
        <w:t>Quantify profit leakage from discount abuse across products and categories</w:t>
      </w:r>
    </w:p>
    <w:p>
      <w:pPr>
        <w:pStyle w:val="ListBullet"/>
      </w:pPr>
      <w:r>
        <w:rPr>
          <w:sz w:val="22"/>
        </w:rPr>
        <w:t>Measure festive season sales uplift and margin impact</w:t>
      </w:r>
    </w:p>
    <w:p>
      <w:pPr>
        <w:pStyle w:val="ListBullet"/>
      </w:pPr>
      <w:r>
        <w:rPr>
          <w:sz w:val="22"/>
        </w:rPr>
        <w:t>Identify top-performing and underperforming regions and cities</w:t>
      </w:r>
    </w:p>
    <w:p>
      <w:pPr>
        <w:pStyle w:val="ListBullet"/>
      </w:pPr>
      <w:r>
        <w:rPr>
          <w:sz w:val="22"/>
        </w:rPr>
        <w:t>Compare channel and payment method profitability</w:t>
      </w:r>
    </w:p>
    <w:p>
      <w:pPr>
        <w:pStyle w:val="ListBullet"/>
      </w:pPr>
      <w:r>
        <w:rPr>
          <w:sz w:val="22"/>
        </w:rPr>
        <w:t>Segment customers by age, gender, and spending behaviour</w:t>
      </w:r>
    </w:p>
    <w:p>
      <w:pPr>
        <w:pStyle w:val="ListBullet"/>
      </w:pPr>
      <w:r>
        <w:rPr>
          <w:sz w:val="22"/>
        </w:rPr>
        <w:t>Train ML models to predict profit and classify high-discount risk orders</w:t>
      </w:r>
    </w:p>
    <w:p>
      <w:r>
        <w:br w:type="page"/>
      </w:r>
    </w:p>
    <w:p>
      <w:pPr>
        <w:spacing w:before="240" w:after="80"/>
        <w:jc w:val="left"/>
      </w:pPr>
      <w:r>
        <w:rPr>
          <w:b/>
          <w:color w:val="16213E"/>
          <w:sz w:val="32"/>
        </w:rPr>
        <w:t>2.  Technology Stack</w:t>
      </w:r>
    </w:p>
    <w:tbl>
      <w:tblPr>
        <w:tblStyle w:val="TableGrid"/>
        <w:tblW w:type="auto" w:w="0"/>
        <w:tblLook w:firstColumn="1" w:firstRow="1" w:lastColumn="0" w:lastRow="0" w:noHBand="0" w:noVBand="1" w:val="04A0"/>
      </w:tblPr>
      <w:tblGrid>
        <w:gridCol w:w="2835"/>
        <w:gridCol w:w="5102"/>
      </w:tblGrid>
      <w:tr>
        <w:tc>
          <w:tcPr>
            <w:tcW w:type="dxa" w:w="4703"/>
            <w:shd w:val="clear" w:color="auto" w:fill="F4F6FB"/>
          </w:tcPr>
          <w:p>
            <w:r>
              <w:rPr>
                <w:b/>
                <w:sz w:val="20"/>
              </w:rPr>
              <w:t>Frontend Framework</w:t>
            </w:r>
          </w:p>
        </w:tc>
        <w:tc>
          <w:tcPr>
            <w:tcW w:type="dxa" w:w="4703"/>
            <w:shd w:val="clear" w:color="auto" w:fill="F4F6FB"/>
          </w:tcPr>
          <w:p>
            <w:r>
              <w:rPr>
                <w:sz w:val="20"/>
              </w:rPr>
              <w:t>Dash 4.x  +  Dash Bootstrap Components</w:t>
            </w:r>
          </w:p>
        </w:tc>
      </w:tr>
      <w:tr>
        <w:tc>
          <w:tcPr>
            <w:tcW w:type="dxa" w:w="4703"/>
          </w:tcPr>
          <w:p>
            <w:r>
              <w:rPr>
                <w:b/>
                <w:sz w:val="20"/>
              </w:rPr>
              <w:t>Visualisation</w:t>
            </w:r>
          </w:p>
        </w:tc>
        <w:tc>
          <w:tcPr>
            <w:tcW w:type="dxa" w:w="4703"/>
          </w:tcPr>
          <w:p>
            <w:r>
              <w:rPr>
                <w:sz w:val="20"/>
              </w:rPr>
              <w:t>Plotly 6.x — interactive charts, heatmaps, treemaps</w:t>
            </w:r>
          </w:p>
        </w:tc>
      </w:tr>
      <w:tr>
        <w:tc>
          <w:tcPr>
            <w:tcW w:type="dxa" w:w="4703"/>
            <w:shd w:val="clear" w:color="auto" w:fill="F4F6FB"/>
          </w:tcPr>
          <w:p>
            <w:r>
              <w:rPr>
                <w:b/>
                <w:sz w:val="20"/>
              </w:rPr>
              <w:t>Data Processing</w:t>
            </w:r>
          </w:p>
        </w:tc>
        <w:tc>
          <w:tcPr>
            <w:tcW w:type="dxa" w:w="4703"/>
            <w:shd w:val="clear" w:color="auto" w:fill="F4F6FB"/>
          </w:tcPr>
          <w:p>
            <w:r>
              <w:rPr>
                <w:sz w:val="20"/>
              </w:rPr>
              <w:t>Pandas 2.x  +  NumPy</w:t>
            </w:r>
          </w:p>
        </w:tc>
      </w:tr>
      <w:tr>
        <w:tc>
          <w:tcPr>
            <w:tcW w:type="dxa" w:w="4703"/>
          </w:tcPr>
          <w:p>
            <w:r>
              <w:rPr>
                <w:b/>
                <w:sz w:val="20"/>
              </w:rPr>
              <w:t>Machine Learning</w:t>
            </w:r>
          </w:p>
        </w:tc>
        <w:tc>
          <w:tcPr>
            <w:tcW w:type="dxa" w:w="4703"/>
          </w:tcPr>
          <w:p>
            <w:r>
              <w:rPr>
                <w:sz w:val="20"/>
              </w:rPr>
              <w:t>scikit-learn (RandomForest, GradientBoosting)  +  joblib</w:t>
            </w:r>
          </w:p>
        </w:tc>
      </w:tr>
      <w:tr>
        <w:tc>
          <w:tcPr>
            <w:tcW w:type="dxa" w:w="4703"/>
            <w:shd w:val="clear" w:color="auto" w:fill="F4F6FB"/>
          </w:tcPr>
          <w:p>
            <w:r>
              <w:rPr>
                <w:b/>
                <w:sz w:val="20"/>
              </w:rPr>
              <w:t>Styling</w:t>
            </w:r>
          </w:p>
        </w:tc>
        <w:tc>
          <w:tcPr>
            <w:tcW w:type="dxa" w:w="4703"/>
            <w:shd w:val="clear" w:color="auto" w:fill="F4F6FB"/>
          </w:tcPr>
          <w:p>
            <w:r>
              <w:rPr>
                <w:sz w:val="20"/>
              </w:rPr>
              <w:t>Custom CSS — saffron / Indian tricolour palette</w:t>
            </w:r>
          </w:p>
        </w:tc>
      </w:tr>
      <w:tr>
        <w:tc>
          <w:tcPr>
            <w:tcW w:type="dxa" w:w="4703"/>
          </w:tcPr>
          <w:p>
            <w:r>
              <w:rPr>
                <w:b/>
                <w:sz w:val="20"/>
              </w:rPr>
              <w:t>Language</w:t>
            </w:r>
          </w:p>
        </w:tc>
        <w:tc>
          <w:tcPr>
            <w:tcW w:type="dxa" w:w="4703"/>
          </w:tcPr>
          <w:p>
            <w:r>
              <w:rPr>
                <w:sz w:val="20"/>
              </w:rPr>
              <w:t>Python 3.10+</w:t>
            </w:r>
          </w:p>
        </w:tc>
      </w:tr>
      <w:tr>
        <w:tc>
          <w:tcPr>
            <w:tcW w:type="dxa" w:w="4703"/>
            <w:shd w:val="clear" w:color="auto" w:fill="F4F6FB"/>
          </w:tcPr>
          <w:p>
            <w:r>
              <w:rPr>
                <w:b/>
                <w:sz w:val="20"/>
              </w:rPr>
              <w:t>Data Source</w:t>
            </w:r>
          </w:p>
        </w:tc>
        <w:tc>
          <w:tcPr>
            <w:tcW w:type="dxa" w:w="4703"/>
            <w:shd w:val="clear" w:color="auto" w:fill="F4F6FB"/>
          </w:tcPr>
          <w:p>
            <w:r>
              <w:rPr>
                <w:sz w:val="20"/>
              </w:rPr>
              <w:t>sales_data.csv  (20,000 rows, 17 columns)</w:t>
            </w:r>
          </w:p>
        </w:tc>
      </w:tr>
    </w:tbl>
    <w:p/>
    <w:p>
      <w:pPr>
        <w:spacing w:before="240" w:after="80"/>
        <w:jc w:val="left"/>
      </w:pPr>
      <w:r>
        <w:rPr>
          <w:b/>
          <w:color w:val="16213E"/>
          <w:sz w:val="32"/>
        </w:rPr>
        <w:t>3.  Project Structure</w:t>
      </w:r>
    </w:p>
    <w:p>
      <w:pPr>
        <w:spacing w:after="80"/>
      </w:pPr>
      <w:r>
        <w:rPr>
          <w:sz w:val="22"/>
        </w:rPr>
        <w:t>The project is organised as follows:</w:t>
      </w:r>
    </w:p>
    <w:p>
      <w:r>
        <w:rPr>
          <w:rFonts w:ascii="Courier New" w:hAnsi="Courier New"/>
          <w:color w:val="1F2328"/>
          <w:sz w:val="18"/>
        </w:rPr>
        <w:t>Ibm project/</w:t>
        <w:br/>
      </w:r>
      <w:r>
        <w:rPr>
          <w:rFonts w:ascii="Courier New" w:hAnsi="Courier New"/>
          <w:color w:val="1F2328"/>
          <w:sz w:val="18"/>
        </w:rPr>
        <w:t xml:space="preserve">  sales_data.csv               -- Source dataset (20,000 orders)</w:t>
        <w:br/>
      </w:r>
      <w:r>
        <w:rPr>
          <w:rFonts w:ascii="Courier New" w:hAnsi="Courier New"/>
          <w:color w:val="1F2328"/>
          <w:sz w:val="18"/>
        </w:rPr>
        <w:t xml:space="preserve">  profit_leakage_dashboard/</w:t>
        <w:br/>
      </w:r>
      <w:r>
        <w:rPr>
          <w:rFonts w:ascii="Courier New" w:hAnsi="Courier New"/>
          <w:color w:val="1F2328"/>
          <w:sz w:val="18"/>
        </w:rPr>
        <w:t xml:space="preserve">    main_app.py                -- Single file: Analytics + ML + Dashboard</w:t>
        <w:br/>
      </w:r>
      <w:r>
        <w:rPr>
          <w:rFonts w:ascii="Courier New" w:hAnsi="Courier New"/>
          <w:color w:val="1F2328"/>
          <w:sz w:val="18"/>
        </w:rPr>
        <w:t xml:space="preserve">    app.py                     -- Modular frontend (original)</w:t>
        <w:br/>
      </w:r>
      <w:r>
        <w:rPr>
          <w:rFonts w:ascii="Courier New" w:hAnsi="Courier New"/>
          <w:color w:val="1F2328"/>
          <w:sz w:val="18"/>
        </w:rPr>
        <w:t xml:space="preserve">    analytics.py               -- Analytics backend module</w:t>
        <w:br/>
      </w:r>
      <w:r>
        <w:rPr>
          <w:rFonts w:ascii="Courier New" w:hAnsi="Courier New"/>
          <w:color w:val="1F2328"/>
          <w:sz w:val="18"/>
        </w:rPr>
        <w:t xml:space="preserve">    requirements.txt           -- Python dependencies</w:t>
        <w:br/>
      </w:r>
      <w:r>
        <w:rPr>
          <w:rFonts w:ascii="Courier New" w:hAnsi="Courier New"/>
          <w:color w:val="1F2328"/>
          <w:sz w:val="18"/>
        </w:rPr>
        <w:t xml:space="preserve">    README.md                  -- Project documentation</w:t>
        <w:br/>
      </w:r>
      <w:r>
        <w:rPr>
          <w:rFonts w:ascii="Courier New" w:hAnsi="Courier New"/>
          <w:color w:val="1F2328"/>
          <w:sz w:val="18"/>
        </w:rPr>
        <w:t xml:space="preserve">    assets/style.css           -- Dashboard theme</w:t>
        <w:br/>
      </w:r>
      <w:r>
        <w:rPr>
          <w:rFonts w:ascii="Courier New" w:hAnsi="Courier New"/>
          <w:color w:val="1F2328"/>
          <w:sz w:val="18"/>
        </w:rPr>
        <w:t xml:space="preserve">    models/</w:t>
        <w:br/>
      </w:r>
      <w:r>
        <w:rPr>
          <w:rFonts w:ascii="Courier New" w:hAnsi="Courier New"/>
          <w:color w:val="1F2328"/>
          <w:sz w:val="18"/>
        </w:rPr>
        <w:t xml:space="preserve">      profit_regression.pkl    -- Trained RandomForest regressor</w:t>
        <w:br/>
      </w:r>
      <w:r>
        <w:rPr>
          <w:rFonts w:ascii="Courier New" w:hAnsi="Courier New"/>
          <w:color w:val="1F2328"/>
          <w:sz w:val="18"/>
        </w:rPr>
        <w:t xml:space="preserve">      leakage_classifier.pkl   -- Trained GradientBoosting classifier</w:t>
        <w:br/>
      </w:r>
      <w:r>
        <w:rPr>
          <w:rFonts w:ascii="Courier New" w:hAnsi="Courier New"/>
          <w:color w:val="1F2328"/>
          <w:sz w:val="18"/>
        </w:rPr>
        <w:t xml:space="preserve">      leakage_scaler.pkl       -- StandardScaler for classifier</w:t>
        <w:br/>
      </w:r>
      <w:r>
        <w:rPr>
          <w:rFonts w:ascii="Courier New" w:hAnsi="Courier New"/>
          <w:color w:val="1F2328"/>
          <w:sz w:val="18"/>
        </w:rPr>
        <w:t xml:space="preserve">    screenshots/               -- UI screenshots</w:t>
        <w:br/>
      </w:r>
    </w:p>
    <w:p>
      <w:r>
        <w:br w:type="page"/>
      </w:r>
    </w:p>
    <w:p>
      <w:pPr>
        <w:spacing w:before="240" w:after="80"/>
        <w:jc w:val="left"/>
      </w:pPr>
      <w:r>
        <w:rPr>
          <w:b/>
          <w:color w:val="16213E"/>
          <w:sz w:val="32"/>
        </w:rPr>
        <w:t>4.  Dataset Description</w:t>
      </w:r>
    </w:p>
    <w:p>
      <w:pPr>
        <w:spacing w:after="80"/>
      </w:pPr>
      <w:r>
        <w:rPr>
          <w:sz w:val="22"/>
        </w:rPr>
        <w:t>The dataset sales_data.csv contains 20,000 retail transaction records across 17 columns spanning Indian cities from 2023 to 2025.</w:t>
      </w:r>
    </w:p>
    <w:tbl>
      <w:tblPr>
        <w:tblStyle w:val="TableGrid"/>
        <w:tblW w:type="auto" w:w="0"/>
        <w:tblLook w:firstColumn="1" w:firstRow="1" w:lastColumn="0" w:lastRow="0" w:noHBand="0" w:noVBand="1" w:val="04A0"/>
      </w:tblPr>
      <w:tblGrid>
        <w:gridCol w:w="2835"/>
        <w:gridCol w:w="5102"/>
      </w:tblGrid>
      <w:tr>
        <w:tc>
          <w:tcPr>
            <w:tcW w:type="dxa" w:w="4703"/>
            <w:shd w:val="clear" w:color="auto" w:fill="F4F6FB"/>
          </w:tcPr>
          <w:p>
            <w:r>
              <w:rPr>
                <w:b/>
                <w:sz w:val="20"/>
              </w:rPr>
              <w:t>order_id</w:t>
            </w:r>
          </w:p>
        </w:tc>
        <w:tc>
          <w:tcPr>
            <w:tcW w:type="dxa" w:w="4703"/>
            <w:shd w:val="clear" w:color="auto" w:fill="F4F6FB"/>
          </w:tcPr>
          <w:p>
            <w:r>
              <w:rPr>
                <w:sz w:val="20"/>
              </w:rPr>
              <w:t>Unique order identifier (ORD100001...)</w:t>
            </w:r>
          </w:p>
        </w:tc>
      </w:tr>
      <w:tr>
        <w:tc>
          <w:tcPr>
            <w:tcW w:type="dxa" w:w="4703"/>
          </w:tcPr>
          <w:p>
            <w:r>
              <w:rPr>
                <w:b/>
                <w:sz w:val="20"/>
              </w:rPr>
              <w:t>order_date</w:t>
            </w:r>
          </w:p>
        </w:tc>
        <w:tc>
          <w:tcPr>
            <w:tcW w:type="dxa" w:w="4703"/>
          </w:tcPr>
          <w:p>
            <w:r>
              <w:rPr>
                <w:sz w:val="20"/>
              </w:rPr>
              <w:t>Transaction date — 2023-01-01 to 2025-12-31</w:t>
            </w:r>
          </w:p>
        </w:tc>
      </w:tr>
      <w:tr>
        <w:tc>
          <w:tcPr>
            <w:tcW w:type="dxa" w:w="4703"/>
            <w:shd w:val="clear" w:color="auto" w:fill="F4F6FB"/>
          </w:tcPr>
          <w:p>
            <w:r>
              <w:rPr>
                <w:b/>
                <w:sz w:val="20"/>
              </w:rPr>
              <w:t>customer_id</w:t>
            </w:r>
          </w:p>
        </w:tc>
        <w:tc>
          <w:tcPr>
            <w:tcW w:type="dxa" w:w="4703"/>
            <w:shd w:val="clear" w:color="auto" w:fill="F4F6FB"/>
          </w:tcPr>
          <w:p>
            <w:r>
              <w:rPr>
                <w:sz w:val="20"/>
              </w:rPr>
              <w:t>Customer identifier (C00001...)</w:t>
            </w:r>
          </w:p>
        </w:tc>
      </w:tr>
      <w:tr>
        <w:tc>
          <w:tcPr>
            <w:tcW w:type="dxa" w:w="4703"/>
          </w:tcPr>
          <w:p>
            <w:r>
              <w:rPr>
                <w:b/>
                <w:sz w:val="20"/>
              </w:rPr>
              <w:t>gender</w:t>
            </w:r>
          </w:p>
        </w:tc>
        <w:tc>
          <w:tcPr>
            <w:tcW w:type="dxa" w:w="4703"/>
          </w:tcPr>
          <w:p>
            <w:r>
              <w:rPr>
                <w:sz w:val="20"/>
              </w:rPr>
              <w:t>Male / Female</w:t>
            </w:r>
          </w:p>
        </w:tc>
      </w:tr>
      <w:tr>
        <w:tc>
          <w:tcPr>
            <w:tcW w:type="dxa" w:w="4703"/>
            <w:shd w:val="clear" w:color="auto" w:fill="F4F6FB"/>
          </w:tcPr>
          <w:p>
            <w:r>
              <w:rPr>
                <w:b/>
                <w:sz w:val="20"/>
              </w:rPr>
              <w:t>age</w:t>
            </w:r>
          </w:p>
        </w:tc>
        <w:tc>
          <w:tcPr>
            <w:tcW w:type="dxa" w:w="4703"/>
            <w:shd w:val="clear" w:color="auto" w:fill="F4F6FB"/>
          </w:tcPr>
          <w:p>
            <w:r>
              <w:rPr>
                <w:sz w:val="20"/>
              </w:rPr>
              <w:t>Customer age (integer)</w:t>
            </w:r>
          </w:p>
        </w:tc>
      </w:tr>
      <w:tr>
        <w:tc>
          <w:tcPr>
            <w:tcW w:type="dxa" w:w="4703"/>
          </w:tcPr>
          <w:p>
            <w:r>
              <w:rPr>
                <w:b/>
                <w:sz w:val="20"/>
              </w:rPr>
              <w:t>region</w:t>
            </w:r>
          </w:p>
        </w:tc>
        <w:tc>
          <w:tcPr>
            <w:tcW w:type="dxa" w:w="4703"/>
          </w:tcPr>
          <w:p>
            <w:r>
              <w:rPr>
                <w:sz w:val="20"/>
              </w:rPr>
              <w:t>North / South / East / West</w:t>
            </w:r>
          </w:p>
        </w:tc>
      </w:tr>
      <w:tr>
        <w:tc>
          <w:tcPr>
            <w:tcW w:type="dxa" w:w="4703"/>
            <w:shd w:val="clear" w:color="auto" w:fill="F4F6FB"/>
          </w:tcPr>
          <w:p>
            <w:r>
              <w:rPr>
                <w:b/>
                <w:sz w:val="20"/>
              </w:rPr>
              <w:t>city</w:t>
            </w:r>
          </w:p>
        </w:tc>
        <w:tc>
          <w:tcPr>
            <w:tcW w:type="dxa" w:w="4703"/>
            <w:shd w:val="clear" w:color="auto" w:fill="F4F6FB"/>
          </w:tcPr>
          <w:p>
            <w:r>
              <w:rPr>
                <w:sz w:val="20"/>
              </w:rPr>
              <w:t>17 Indian cities (Mumbai, Delhi, Bengaluru, etc.)</w:t>
            </w:r>
          </w:p>
        </w:tc>
      </w:tr>
      <w:tr>
        <w:tc>
          <w:tcPr>
            <w:tcW w:type="dxa" w:w="4703"/>
          </w:tcPr>
          <w:p>
            <w:r>
              <w:rPr>
                <w:b/>
                <w:sz w:val="20"/>
              </w:rPr>
              <w:t>category</w:t>
            </w:r>
          </w:p>
        </w:tc>
        <w:tc>
          <w:tcPr>
            <w:tcW w:type="dxa" w:w="4703"/>
          </w:tcPr>
          <w:p>
            <w:r>
              <w:rPr>
                <w:sz w:val="20"/>
              </w:rPr>
              <w:t>Electronics, Clothing, Beauty, Home &amp; Kitchen, Books</w:t>
            </w:r>
          </w:p>
        </w:tc>
      </w:tr>
      <w:tr>
        <w:tc>
          <w:tcPr>
            <w:tcW w:type="dxa" w:w="4703"/>
            <w:shd w:val="clear" w:color="auto" w:fill="F4F6FB"/>
          </w:tcPr>
          <w:p>
            <w:r>
              <w:rPr>
                <w:b/>
                <w:sz w:val="20"/>
              </w:rPr>
              <w:t>product</w:t>
            </w:r>
          </w:p>
        </w:tc>
        <w:tc>
          <w:tcPr>
            <w:tcW w:type="dxa" w:w="4703"/>
            <w:shd w:val="clear" w:color="auto" w:fill="F4F6FB"/>
          </w:tcPr>
          <w:p>
            <w:r>
              <w:rPr>
                <w:sz w:val="20"/>
              </w:rPr>
              <w:t>Product name</w:t>
            </w:r>
          </w:p>
        </w:tc>
      </w:tr>
      <w:tr>
        <w:tc>
          <w:tcPr>
            <w:tcW w:type="dxa" w:w="4703"/>
          </w:tcPr>
          <w:p>
            <w:r>
              <w:rPr>
                <w:b/>
                <w:sz w:val="20"/>
              </w:rPr>
              <w:t>unit_price</w:t>
            </w:r>
          </w:p>
        </w:tc>
        <w:tc>
          <w:tcPr>
            <w:tcW w:type="dxa" w:w="4703"/>
          </w:tcPr>
          <w:p>
            <w:r>
              <w:rPr>
                <w:sz w:val="20"/>
              </w:rPr>
              <w:t>Price per unit in INR</w:t>
            </w:r>
          </w:p>
        </w:tc>
      </w:tr>
      <w:tr>
        <w:tc>
          <w:tcPr>
            <w:tcW w:type="dxa" w:w="4703"/>
            <w:shd w:val="clear" w:color="auto" w:fill="F4F6FB"/>
          </w:tcPr>
          <w:p>
            <w:r>
              <w:rPr>
                <w:b/>
                <w:sz w:val="20"/>
              </w:rPr>
              <w:t>quantity</w:t>
            </w:r>
          </w:p>
        </w:tc>
        <w:tc>
          <w:tcPr>
            <w:tcW w:type="dxa" w:w="4703"/>
            <w:shd w:val="clear" w:color="auto" w:fill="F4F6FB"/>
          </w:tcPr>
          <w:p>
            <w:r>
              <w:rPr>
                <w:sz w:val="20"/>
              </w:rPr>
              <w:t>Units purchased per order</w:t>
            </w:r>
          </w:p>
        </w:tc>
      </w:tr>
      <w:tr>
        <w:tc>
          <w:tcPr>
            <w:tcW w:type="dxa" w:w="4703"/>
          </w:tcPr>
          <w:p>
            <w:r>
              <w:rPr>
                <w:b/>
                <w:sz w:val="20"/>
              </w:rPr>
              <w:t>discount</w:t>
            </w:r>
          </w:p>
        </w:tc>
        <w:tc>
          <w:tcPr>
            <w:tcW w:type="dxa" w:w="4703"/>
          </w:tcPr>
          <w:p>
            <w:r>
              <w:rPr>
                <w:sz w:val="20"/>
              </w:rPr>
              <w:t>Discount fraction (0.0 to 0.5)</w:t>
            </w:r>
          </w:p>
        </w:tc>
      </w:tr>
      <w:tr>
        <w:tc>
          <w:tcPr>
            <w:tcW w:type="dxa" w:w="4703"/>
            <w:shd w:val="clear" w:color="auto" w:fill="F4F6FB"/>
          </w:tcPr>
          <w:p>
            <w:r>
              <w:rPr>
                <w:b/>
                <w:sz w:val="20"/>
              </w:rPr>
              <w:t>sales</w:t>
            </w:r>
          </w:p>
        </w:tc>
        <w:tc>
          <w:tcPr>
            <w:tcW w:type="dxa" w:w="4703"/>
            <w:shd w:val="clear" w:color="auto" w:fill="F4F6FB"/>
          </w:tcPr>
          <w:p>
            <w:r>
              <w:rPr>
                <w:sz w:val="20"/>
              </w:rPr>
              <w:t>Net sales = unit_price * quantity * (1 - discount)</w:t>
            </w:r>
          </w:p>
        </w:tc>
      </w:tr>
      <w:tr>
        <w:tc>
          <w:tcPr>
            <w:tcW w:type="dxa" w:w="4703"/>
          </w:tcPr>
          <w:p>
            <w:r>
              <w:rPr>
                <w:b/>
                <w:sz w:val="20"/>
              </w:rPr>
              <w:t>profit</w:t>
            </w:r>
          </w:p>
        </w:tc>
        <w:tc>
          <w:tcPr>
            <w:tcW w:type="dxa" w:w="4703"/>
          </w:tcPr>
          <w:p>
            <w:r>
              <w:rPr>
                <w:sz w:val="20"/>
              </w:rPr>
              <w:t>Profit earned on the order</w:t>
            </w:r>
          </w:p>
        </w:tc>
      </w:tr>
      <w:tr>
        <w:tc>
          <w:tcPr>
            <w:tcW w:type="dxa" w:w="4703"/>
            <w:shd w:val="clear" w:color="auto" w:fill="F4F6FB"/>
          </w:tcPr>
          <w:p>
            <w:r>
              <w:rPr>
                <w:b/>
                <w:sz w:val="20"/>
              </w:rPr>
              <w:t>channel</w:t>
            </w:r>
          </w:p>
        </w:tc>
        <w:tc>
          <w:tcPr>
            <w:tcW w:type="dxa" w:w="4703"/>
            <w:shd w:val="clear" w:color="auto" w:fill="F4F6FB"/>
          </w:tcPr>
          <w:p>
            <w:r>
              <w:rPr>
                <w:sz w:val="20"/>
              </w:rPr>
              <w:t>Store / Online / Mobile App</w:t>
            </w:r>
          </w:p>
        </w:tc>
      </w:tr>
      <w:tr>
        <w:tc>
          <w:tcPr>
            <w:tcW w:type="dxa" w:w="4703"/>
          </w:tcPr>
          <w:p>
            <w:r>
              <w:rPr>
                <w:b/>
                <w:sz w:val="20"/>
              </w:rPr>
              <w:t>payment_method</w:t>
            </w:r>
          </w:p>
        </w:tc>
        <w:tc>
          <w:tcPr>
            <w:tcW w:type="dxa" w:w="4703"/>
          </w:tcPr>
          <w:p>
            <w:r>
              <w:rPr>
                <w:sz w:val="20"/>
              </w:rPr>
              <w:t>UPI / Cash / Credit Card / Cash on Delivery</w:t>
            </w:r>
          </w:p>
        </w:tc>
      </w:tr>
      <w:tr>
        <w:tc>
          <w:tcPr>
            <w:tcW w:type="dxa" w:w="4703"/>
            <w:shd w:val="clear" w:color="auto" w:fill="F4F6FB"/>
          </w:tcPr>
          <w:p>
            <w:r>
              <w:rPr>
                <w:b/>
                <w:sz w:val="20"/>
              </w:rPr>
              <w:t>rating</w:t>
            </w:r>
          </w:p>
        </w:tc>
        <w:tc>
          <w:tcPr>
            <w:tcW w:type="dxa" w:w="4703"/>
            <w:shd w:val="clear" w:color="auto" w:fill="F4F6FB"/>
          </w:tcPr>
          <w:p>
            <w:r>
              <w:rPr>
                <w:sz w:val="20"/>
              </w:rPr>
              <w:t>Customer satisfaction rating (1.0 to 5.0)</w:t>
            </w:r>
          </w:p>
        </w:tc>
      </w:tr>
    </w:tbl>
    <w:p/>
    <w:p>
      <w:pPr>
        <w:spacing w:before="240" w:after="80"/>
        <w:jc w:val="left"/>
      </w:pPr>
      <w:r>
        <w:rPr>
          <w:b/>
          <w:color w:val="16213E"/>
          <w:sz w:val="32"/>
        </w:rPr>
        <w:t>5.  Key Business Findings</w:t>
      </w:r>
    </w:p>
    <w:tbl>
      <w:tblPr>
        <w:tblStyle w:val="TableGrid"/>
        <w:tblW w:type="auto" w:w="0"/>
        <w:tblLook w:firstColumn="1" w:firstRow="1" w:lastColumn="0" w:lastRow="0" w:noHBand="0" w:noVBand="1" w:val="04A0"/>
      </w:tblPr>
      <w:tblGrid>
        <w:gridCol w:w="2835"/>
        <w:gridCol w:w="5102"/>
      </w:tblGrid>
      <w:tr>
        <w:tc>
          <w:tcPr>
            <w:tcW w:type="dxa" w:w="4703"/>
            <w:shd w:val="clear" w:color="auto" w:fill="F4F6FB"/>
          </w:tcPr>
          <w:p>
            <w:r>
              <w:rPr>
                <w:b/>
                <w:sz w:val="20"/>
              </w:rPr>
              <w:t>Total Revenue Lost to Discounts</w:t>
            </w:r>
          </w:p>
        </w:tc>
        <w:tc>
          <w:tcPr>
            <w:tcW w:type="dxa" w:w="4703"/>
            <w:shd w:val="clear" w:color="auto" w:fill="F4F6FB"/>
          </w:tcPr>
          <w:p>
            <w:r>
              <w:rPr>
                <w:sz w:val="20"/>
              </w:rPr>
              <w:t>Rs. 1.50 Crore  (leakage ratio: 6.32%)</w:t>
            </w:r>
          </w:p>
        </w:tc>
      </w:tr>
      <w:tr>
        <w:tc>
          <w:tcPr>
            <w:tcW w:type="dxa" w:w="4703"/>
          </w:tcPr>
          <w:p>
            <w:r>
              <w:rPr>
                <w:b/>
                <w:sz w:val="20"/>
              </w:rPr>
              <w:t>Average Profit Margin</w:t>
            </w:r>
          </w:p>
        </w:tc>
        <w:tc>
          <w:tcPr>
            <w:tcW w:type="dxa" w:w="4703"/>
          </w:tcPr>
          <w:p>
            <w:r>
              <w:rPr>
                <w:sz w:val="20"/>
              </w:rPr>
              <w:t>15.46% across all 20,000 orders</w:t>
            </w:r>
          </w:p>
        </w:tc>
      </w:tr>
      <w:tr>
        <w:tc>
          <w:tcPr>
            <w:tcW w:type="dxa" w:w="4703"/>
            <w:shd w:val="clear" w:color="auto" w:fill="F4F6FB"/>
          </w:tcPr>
          <w:p>
            <w:r>
              <w:rPr>
                <w:b/>
                <w:sz w:val="20"/>
              </w:rPr>
              <w:t>High-Discount Orders (&gt;10%)</w:t>
            </w:r>
          </w:p>
        </w:tc>
        <w:tc>
          <w:tcPr>
            <w:tcW w:type="dxa" w:w="4703"/>
            <w:shd w:val="clear" w:color="auto" w:fill="F4F6FB"/>
          </w:tcPr>
          <w:p>
            <w:r>
              <w:rPr>
                <w:sz w:val="20"/>
              </w:rPr>
              <w:t>4,020 orders out of 20,000 (20.1%)</w:t>
            </w:r>
          </w:p>
        </w:tc>
      </w:tr>
      <w:tr>
        <w:tc>
          <w:tcPr>
            <w:tcW w:type="dxa" w:w="4703"/>
          </w:tcPr>
          <w:p>
            <w:r>
              <w:rPr>
                <w:b/>
                <w:sz w:val="20"/>
              </w:rPr>
              <w:t>Festive Season Sales Uplift</w:t>
            </w:r>
          </w:p>
        </w:tc>
        <w:tc>
          <w:tcPr>
            <w:tcW w:type="dxa" w:w="4703"/>
          </w:tcPr>
          <w:p>
            <w:r>
              <w:rPr>
                <w:sz w:val="20"/>
              </w:rPr>
              <w:t>+4.91% avg order value vs regular months</w:t>
            </w:r>
          </w:p>
        </w:tc>
      </w:tr>
      <w:tr>
        <w:tc>
          <w:tcPr>
            <w:tcW w:type="dxa" w:w="4703"/>
            <w:shd w:val="clear" w:color="auto" w:fill="F4F6FB"/>
          </w:tcPr>
          <w:p>
            <w:r>
              <w:rPr>
                <w:b/>
                <w:sz w:val="20"/>
              </w:rPr>
              <w:t>Festive Avg Order Value</w:t>
            </w:r>
          </w:p>
        </w:tc>
        <w:tc>
          <w:tcPr>
            <w:tcW w:type="dxa" w:w="4703"/>
            <w:shd w:val="clear" w:color="auto" w:fill="F4F6FB"/>
          </w:tcPr>
          <w:p>
            <w:r>
              <w:rPr>
                <w:sz w:val="20"/>
              </w:rPr>
              <w:t>Rs. 11,333  vs  Rs. 10,804 regular</w:t>
            </w:r>
          </w:p>
        </w:tc>
      </w:tr>
      <w:tr>
        <w:tc>
          <w:tcPr>
            <w:tcW w:type="dxa" w:w="4703"/>
          </w:tcPr>
          <w:p>
            <w:r>
              <w:rPr>
                <w:b/>
                <w:sz w:val="20"/>
              </w:rPr>
              <w:t>Top Region by Sales</w:t>
            </w:r>
          </w:p>
        </w:tc>
        <w:tc>
          <w:tcPr>
            <w:tcW w:type="dxa" w:w="4703"/>
          </w:tcPr>
          <w:p>
            <w:r>
              <w:rPr>
                <w:sz w:val="20"/>
              </w:rPr>
              <w:t>South — Rs. 7.01 Crore</w:t>
            </w:r>
          </w:p>
        </w:tc>
      </w:tr>
      <w:tr>
        <w:tc>
          <w:tcPr>
            <w:tcW w:type="dxa" w:w="4703"/>
            <w:shd w:val="clear" w:color="auto" w:fill="F4F6FB"/>
          </w:tcPr>
          <w:p>
            <w:r>
              <w:rPr>
                <w:b/>
                <w:sz w:val="20"/>
              </w:rPr>
              <w:t>Best Profit Margin Region</w:t>
            </w:r>
          </w:p>
        </w:tc>
        <w:tc>
          <w:tcPr>
            <w:tcW w:type="dxa" w:w="4703"/>
            <w:shd w:val="clear" w:color="auto" w:fill="F4F6FB"/>
          </w:tcPr>
          <w:p>
            <w:r>
              <w:rPr>
                <w:sz w:val="20"/>
              </w:rPr>
              <w:t>North — 15.8%</w:t>
            </w:r>
          </w:p>
        </w:tc>
      </w:tr>
      <w:tr>
        <w:tc>
          <w:tcPr>
            <w:tcW w:type="dxa" w:w="4703"/>
          </w:tcPr>
          <w:p>
            <w:r>
              <w:rPr>
                <w:b/>
                <w:sz w:val="20"/>
              </w:rPr>
              <w:t>Most Leakage Region</w:t>
            </w:r>
          </w:p>
        </w:tc>
        <w:tc>
          <w:tcPr>
            <w:tcW w:type="dxa" w:w="4703"/>
          </w:tcPr>
          <w:p>
            <w:r>
              <w:rPr>
                <w:sz w:val="20"/>
              </w:rPr>
              <w:t>South — Rs. 47.24 Lakh lost</w:t>
            </w:r>
          </w:p>
        </w:tc>
      </w:tr>
      <w:tr>
        <w:tc>
          <w:tcPr>
            <w:tcW w:type="dxa" w:w="4703"/>
            <w:shd w:val="clear" w:color="auto" w:fill="F4F6FB"/>
          </w:tcPr>
          <w:p>
            <w:r>
              <w:rPr>
                <w:b/>
                <w:sz w:val="20"/>
              </w:rPr>
              <w:t>Total Cities Covered</w:t>
            </w:r>
          </w:p>
        </w:tc>
        <w:tc>
          <w:tcPr>
            <w:tcW w:type="dxa" w:w="4703"/>
            <w:shd w:val="clear" w:color="auto" w:fill="F4F6FB"/>
          </w:tcPr>
          <w:p>
            <w:r>
              <w:rPr>
                <w:sz w:val="20"/>
              </w:rPr>
              <w:t>17 cities across 4 regions</w:t>
            </w:r>
          </w:p>
        </w:tc>
      </w:tr>
      <w:tr>
        <w:tc>
          <w:tcPr>
            <w:tcW w:type="dxa" w:w="4703"/>
          </w:tcPr>
          <w:p>
            <w:r>
              <w:rPr>
                <w:b/>
                <w:sz w:val="20"/>
              </w:rPr>
              <w:t>Top Category by Leakage</w:t>
            </w:r>
          </w:p>
        </w:tc>
        <w:tc>
          <w:tcPr>
            <w:tcW w:type="dxa" w:w="4703"/>
          </w:tcPr>
          <w:p>
            <w:r>
              <w:rPr>
                <w:sz w:val="20"/>
              </w:rPr>
              <w:t>Electronics (highest discount revenue lost)</w:t>
            </w:r>
          </w:p>
        </w:tc>
      </w:tr>
    </w:tbl>
    <w:p/>
    <w:p>
      <w:r>
        <w:br w:type="page"/>
      </w:r>
    </w:p>
    <w:p>
      <w:pPr>
        <w:spacing w:before="240" w:after="80"/>
        <w:jc w:val="left"/>
      </w:pPr>
      <w:r>
        <w:rPr>
          <w:b/>
          <w:color w:val="16213E"/>
          <w:sz w:val="32"/>
        </w:rPr>
        <w:t>6.  Dashboard User Interface</w:t>
      </w:r>
    </w:p>
    <w:p>
      <w:pPr>
        <w:spacing w:after="80"/>
      </w:pPr>
      <w:r>
        <w:rPr>
          <w:sz w:val="22"/>
        </w:rPr>
        <w:t>The dashboard is accessible at http://127.0.0.1:8050 after running main_app.py. It features a global filter bar (Category, Region, Channel, Date Range) and six interactive tabs. All charts respond to filter changes in real time.</w:t>
      </w:r>
    </w:p>
    <w:p/>
    <w:p>
      <w:pPr>
        <w:spacing w:before="240" w:after="80"/>
        <w:jc w:val="left"/>
      </w:pPr>
      <w:r>
        <w:rPr>
          <w:b/>
          <w:color w:val="FF6B35"/>
          <w:sz w:val="26"/>
        </w:rPr>
        <w:t>6.1  Tab 1 — Profit Leakage</w:t>
      </w:r>
    </w:p>
    <w:p>
      <w:pPr>
        <w:spacing w:after="80"/>
      </w:pPr>
      <w:r>
        <w:rPr>
          <w:sz w:val="22"/>
        </w:rPr>
        <w:t>Shows total revenue lost to discounts, the relationship between discount bands and profit margins, top 15 products causing leakage, and a per-product scatter plot of discount % vs profit margin.</w:t>
      </w:r>
    </w:p>
    <w:p>
      <w:pPr>
        <w:jc w:val="center"/>
      </w:pPr>
      <w:r>
        <w:drawing>
          <wp:inline xmlns:a="http://schemas.openxmlformats.org/drawingml/2006/main" xmlns:pic="http://schemas.openxmlformats.org/drawingml/2006/picture">
            <wp:extent cx="5580000" cy="2638523"/>
            <wp:docPr id="1" name="Picture 1"/>
            <wp:cNvGraphicFramePr>
              <a:graphicFrameLocks noChangeAspect="1"/>
            </wp:cNvGraphicFramePr>
            <a:graphic>
              <a:graphicData uri="http://schemas.openxmlformats.org/drawingml/2006/picture">
                <pic:pic>
                  <pic:nvPicPr>
                    <pic:cNvPr id="0" name="screenshot_leakage.png"/>
                    <pic:cNvPicPr/>
                  </pic:nvPicPr>
                  <pic:blipFill>
                    <a:blip r:embed="rId9"/>
                    <a:stretch>
                      <a:fillRect/>
                    </a:stretch>
                  </pic:blipFill>
                  <pic:spPr>
                    <a:xfrm>
                      <a:off x="0" y="0"/>
                      <a:ext cx="5580000" cy="2638523"/>
                    </a:xfrm>
                    <a:prstGeom prst="rect"/>
                  </pic:spPr>
                </pic:pic>
              </a:graphicData>
            </a:graphic>
          </wp:inline>
        </w:drawing>
      </w:r>
    </w:p>
    <w:p>
      <w:pPr>
        <w:jc w:val="center"/>
      </w:pPr>
      <w:r>
        <w:rPr>
          <w:i/>
          <w:color w:val="57606A"/>
          <w:sz w:val="18"/>
        </w:rPr>
        <w:t>Figure 1: Profit Leakage Tab — KPI cards, category leakage bar, discount band analysis</w:t>
      </w:r>
    </w:p>
    <w:p/>
    <w:p>
      <w:pPr>
        <w:spacing w:before="240" w:after="80"/>
        <w:jc w:val="left"/>
      </w:pPr>
      <w:r>
        <w:rPr>
          <w:b/>
          <w:color w:val="FF6B35"/>
          <w:sz w:val="26"/>
        </w:rPr>
        <w:t>6.2  Tab 2 — Festive Growth</w:t>
      </w:r>
    </w:p>
    <w:p>
      <w:pPr>
        <w:spacing w:after="80"/>
      </w:pPr>
      <w:r>
        <w:rPr>
          <w:sz w:val="22"/>
        </w:rPr>
        <w:t>Displays monthly sales and profit trend with festive periods (Diwali, Navratri, Holi, Raksha Bandhan, Makar Sankranti) highlighted. Compares festive vs regular avg order values by category and shows month-wise margin variation.</w:t>
      </w:r>
    </w:p>
    <w:p>
      <w:pPr>
        <w:jc w:val="center"/>
      </w:pPr>
      <w:r>
        <w:drawing>
          <wp:inline xmlns:a="http://schemas.openxmlformats.org/drawingml/2006/main" xmlns:pic="http://schemas.openxmlformats.org/drawingml/2006/picture">
            <wp:extent cx="5580000" cy="2638523"/>
            <wp:docPr id="2" name="Picture 2"/>
            <wp:cNvGraphicFramePr>
              <a:graphicFrameLocks noChangeAspect="1"/>
            </wp:cNvGraphicFramePr>
            <a:graphic>
              <a:graphicData uri="http://schemas.openxmlformats.org/drawingml/2006/picture">
                <pic:pic>
                  <pic:nvPicPr>
                    <pic:cNvPr id="0" name="screenshot_festive.png"/>
                    <pic:cNvPicPr/>
                  </pic:nvPicPr>
                  <pic:blipFill>
                    <a:blip r:embed="rId10"/>
                    <a:stretch>
                      <a:fillRect/>
                    </a:stretch>
                  </pic:blipFill>
                  <pic:spPr>
                    <a:xfrm>
                      <a:off x="0" y="0"/>
                      <a:ext cx="5580000" cy="2638523"/>
                    </a:xfrm>
                    <a:prstGeom prst="rect"/>
                  </pic:spPr>
                </pic:pic>
              </a:graphicData>
            </a:graphic>
          </wp:inline>
        </w:drawing>
      </w:r>
    </w:p>
    <w:p>
      <w:pPr>
        <w:jc w:val="center"/>
      </w:pPr>
      <w:r>
        <w:rPr>
          <w:i/>
          <w:color w:val="57606A"/>
          <w:sz w:val="18"/>
        </w:rPr>
        <w:t>Figure 2: Festive Growth Tab — Monthly trend with festive highlights, category comparison</w:t>
      </w:r>
    </w:p>
    <w:p/>
    <w:p>
      <w:pPr>
        <w:spacing w:before="240" w:after="80"/>
        <w:jc w:val="left"/>
      </w:pPr>
      <w:r>
        <w:rPr>
          <w:b/>
          <w:color w:val="FF6B35"/>
          <w:sz w:val="26"/>
        </w:rPr>
        <w:t>6.3  Tab 3 — Regional Analysis</w:t>
      </w:r>
    </w:p>
    <w:p>
      <w:pPr>
        <w:spacing w:after="80"/>
      </w:pPr>
      <w:r>
        <w:rPr>
          <w:sz w:val="22"/>
        </w:rPr>
        <w:t>Presents region-level sales and profit grouped bars, a sales distribution donut chart, a treemap of top 20 cities coloured by profit margin, and region-wise discount leakage.</w:t>
      </w:r>
    </w:p>
    <w:p>
      <w:pPr>
        <w:jc w:val="center"/>
      </w:pPr>
      <w:r>
        <w:drawing>
          <wp:inline xmlns:a="http://schemas.openxmlformats.org/drawingml/2006/main" xmlns:pic="http://schemas.openxmlformats.org/drawingml/2006/picture">
            <wp:extent cx="5580000" cy="2638523"/>
            <wp:docPr id="3" name="Picture 3"/>
            <wp:cNvGraphicFramePr>
              <a:graphicFrameLocks noChangeAspect="1"/>
            </wp:cNvGraphicFramePr>
            <a:graphic>
              <a:graphicData uri="http://schemas.openxmlformats.org/drawingml/2006/picture">
                <pic:pic>
                  <pic:nvPicPr>
                    <pic:cNvPr id="0" name="screenshot_regional.png"/>
                    <pic:cNvPicPr/>
                  </pic:nvPicPr>
                  <pic:blipFill>
                    <a:blip r:embed="rId11"/>
                    <a:stretch>
                      <a:fillRect/>
                    </a:stretch>
                  </pic:blipFill>
                  <pic:spPr>
                    <a:xfrm>
                      <a:off x="0" y="0"/>
                      <a:ext cx="5580000" cy="2638523"/>
                    </a:xfrm>
                    <a:prstGeom prst="rect"/>
                  </pic:spPr>
                </pic:pic>
              </a:graphicData>
            </a:graphic>
          </wp:inline>
        </w:drawing>
      </w:r>
    </w:p>
    <w:p>
      <w:pPr>
        <w:jc w:val="center"/>
      </w:pPr>
      <w:r>
        <w:rPr>
          <w:i/>
          <w:color w:val="57606A"/>
          <w:sz w:val="18"/>
        </w:rPr>
        <w:t>Figure 3: Regional Analysis Tab — Sales by region, city treemap, leakage breakdown</w:t>
      </w:r>
    </w:p>
    <w:p/>
    <w:p>
      <w:pPr>
        <w:spacing w:before="240" w:after="80"/>
        <w:jc w:val="left"/>
      </w:pPr>
      <w:r>
        <w:rPr>
          <w:b/>
          <w:color w:val="FF6B35"/>
          <w:sz w:val="26"/>
        </w:rPr>
        <w:t>6.4  Tab 4 — Channel &amp; Payment</w:t>
      </w:r>
    </w:p>
    <w:p>
      <w:pPr>
        <w:spacing w:after="80"/>
      </w:pPr>
      <w:r>
        <w:rPr>
          <w:sz w:val="22"/>
        </w:rPr>
        <w:t>Analyses Store, Online, and Mobile App channel profitability, payment method order share, a channel vs customer satisfaction scatter, and a category-channel profit margin heatmap.</w:t>
      </w:r>
    </w:p>
    <w:p>
      <w:pPr>
        <w:jc w:val="center"/>
      </w:pPr>
      <w:r>
        <w:drawing>
          <wp:inline xmlns:a="http://schemas.openxmlformats.org/drawingml/2006/main" xmlns:pic="http://schemas.openxmlformats.org/drawingml/2006/picture">
            <wp:extent cx="5580000" cy="2638523"/>
            <wp:docPr id="4" name="Picture 4"/>
            <wp:cNvGraphicFramePr>
              <a:graphicFrameLocks noChangeAspect="1"/>
            </wp:cNvGraphicFramePr>
            <a:graphic>
              <a:graphicData uri="http://schemas.openxmlformats.org/drawingml/2006/picture">
                <pic:pic>
                  <pic:nvPicPr>
                    <pic:cNvPr id="0" name="screenshot_channel.png"/>
                    <pic:cNvPicPr/>
                  </pic:nvPicPr>
                  <pic:blipFill>
                    <a:blip r:embed="rId12"/>
                    <a:stretch>
                      <a:fillRect/>
                    </a:stretch>
                  </pic:blipFill>
                  <pic:spPr>
                    <a:xfrm>
                      <a:off x="0" y="0"/>
                      <a:ext cx="5580000" cy="2638523"/>
                    </a:xfrm>
                    <a:prstGeom prst="rect"/>
                  </pic:spPr>
                </pic:pic>
              </a:graphicData>
            </a:graphic>
          </wp:inline>
        </w:drawing>
      </w:r>
    </w:p>
    <w:p>
      <w:pPr>
        <w:jc w:val="center"/>
      </w:pPr>
      <w:r>
        <w:rPr>
          <w:i/>
          <w:color w:val="57606A"/>
          <w:sz w:val="18"/>
        </w:rPr>
        <w:t>Figure 4: Channel &amp; Payment Tab — Channel profit bars, payment donut, margin heatmap</w:t>
      </w:r>
    </w:p>
    <w:p/>
    <w:p>
      <w:pPr>
        <w:spacing w:before="240" w:after="80"/>
        <w:jc w:val="left"/>
      </w:pPr>
      <w:r>
        <w:rPr>
          <w:b/>
          <w:color w:val="FF6B35"/>
          <w:sz w:val="26"/>
        </w:rPr>
        <w:t>6.5  Tab 5 — Customer Insights</w:t>
      </w:r>
    </w:p>
    <w:p>
      <w:pPr>
        <w:spacing w:after="80"/>
      </w:pPr>
      <w:r>
        <w:rPr>
          <w:sz w:val="22"/>
        </w:rPr>
        <w:t>Segments customers by age group and gender, shows a profit margin heatmap by age x gender, ranks the top 20 customers by lifetime revenue, and displays a rating distribution heatmap by category.</w:t>
      </w:r>
    </w:p>
    <w:p>
      <w:pPr>
        <w:jc w:val="center"/>
      </w:pPr>
      <w:r>
        <w:drawing>
          <wp:inline xmlns:a="http://schemas.openxmlformats.org/drawingml/2006/main" xmlns:pic="http://schemas.openxmlformats.org/drawingml/2006/picture">
            <wp:extent cx="5580000" cy="2638523"/>
            <wp:docPr id="5" name="Picture 5"/>
            <wp:cNvGraphicFramePr>
              <a:graphicFrameLocks noChangeAspect="1"/>
            </wp:cNvGraphicFramePr>
            <a:graphic>
              <a:graphicData uri="http://schemas.openxmlformats.org/drawingml/2006/picture">
                <pic:pic>
                  <pic:nvPicPr>
                    <pic:cNvPr id="0" name="screenshot_customer.png"/>
                    <pic:cNvPicPr/>
                  </pic:nvPicPr>
                  <pic:blipFill>
                    <a:blip r:embed="rId13"/>
                    <a:stretch>
                      <a:fillRect/>
                    </a:stretch>
                  </pic:blipFill>
                  <pic:spPr>
                    <a:xfrm>
                      <a:off x="0" y="0"/>
                      <a:ext cx="5580000" cy="2638523"/>
                    </a:xfrm>
                    <a:prstGeom prst="rect"/>
                  </pic:spPr>
                </pic:pic>
              </a:graphicData>
            </a:graphic>
          </wp:inline>
        </w:drawing>
      </w:r>
    </w:p>
    <w:p>
      <w:pPr>
        <w:jc w:val="center"/>
      </w:pPr>
      <w:r>
        <w:rPr>
          <w:i/>
          <w:color w:val="57606A"/>
          <w:sz w:val="18"/>
        </w:rPr>
        <w:t>Figure 5: Customer Insights Tab — Age/gender segmentation, top customers, ratings</w:t>
      </w:r>
    </w:p>
    <w:p/>
    <w:p>
      <w:r>
        <w:br w:type="page"/>
      </w:r>
    </w:p>
    <w:p>
      <w:pPr>
        <w:spacing w:before="240" w:after="80"/>
        <w:jc w:val="left"/>
      </w:pPr>
      <w:r>
        <w:rPr>
          <w:b/>
          <w:color w:val="16213E"/>
          <w:sz w:val="32"/>
        </w:rPr>
        <w:t>7.  Machine Learning Models</w:t>
      </w:r>
    </w:p>
    <w:p>
      <w:pPr>
        <w:spacing w:before="240" w:after="80"/>
        <w:jc w:val="left"/>
      </w:pPr>
      <w:r>
        <w:rPr>
          <w:b/>
          <w:color w:val="FF6B35"/>
          <w:sz w:val="26"/>
        </w:rPr>
        <w:t>7.1  Model 1 — Profit Regression</w:t>
      </w:r>
    </w:p>
    <w:p>
      <w:pPr>
        <w:spacing w:after="80"/>
      </w:pPr>
      <w:r>
        <w:rPr>
          <w:sz w:val="22"/>
        </w:rPr>
        <w:t>A RandomForestRegressor (120 estimators, max depth 12) trained to predict the profit value of an order based on pricing, quantity, discounting, location, category, channel, and seasonal features.</w:t>
      </w:r>
    </w:p>
    <w:tbl>
      <w:tblPr>
        <w:tblStyle w:val="TableGrid"/>
        <w:tblW w:type="auto" w:w="0"/>
        <w:tblLook w:firstColumn="1" w:firstRow="1" w:lastColumn="0" w:lastRow="0" w:noHBand="0" w:noVBand="1" w:val="04A0"/>
      </w:tblPr>
      <w:tblGrid>
        <w:gridCol w:w="2835"/>
        <w:gridCol w:w="5102"/>
      </w:tblGrid>
      <w:tr>
        <w:tc>
          <w:tcPr>
            <w:tcW w:type="dxa" w:w="4703"/>
            <w:shd w:val="clear" w:color="auto" w:fill="F4F6FB"/>
          </w:tcPr>
          <w:p>
            <w:r>
              <w:rPr>
                <w:b/>
                <w:sz w:val="20"/>
              </w:rPr>
              <w:t>Algorithm</w:t>
            </w:r>
          </w:p>
        </w:tc>
        <w:tc>
          <w:tcPr>
            <w:tcW w:type="dxa" w:w="4703"/>
            <w:shd w:val="clear" w:color="auto" w:fill="F4F6FB"/>
          </w:tcPr>
          <w:p>
            <w:r>
              <w:rPr>
                <w:sz w:val="20"/>
              </w:rPr>
              <w:t>RandomForestRegressor (scikit-learn)</w:t>
            </w:r>
          </w:p>
        </w:tc>
      </w:tr>
      <w:tr>
        <w:tc>
          <w:tcPr>
            <w:tcW w:type="dxa" w:w="4703"/>
          </w:tcPr>
          <w:p>
            <w:r>
              <w:rPr>
                <w:b/>
                <w:sz w:val="20"/>
              </w:rPr>
              <w:t>Features</w:t>
            </w:r>
          </w:p>
        </w:tc>
        <w:tc>
          <w:tcPr>
            <w:tcW w:type="dxa" w:w="4703"/>
          </w:tcPr>
          <w:p>
            <w:r>
              <w:rPr>
                <w:sz w:val="20"/>
              </w:rPr>
              <w:t>unit_price, quantity, discount_pct, sales, region, category, channel, month, age, is_festive</w:t>
            </w:r>
          </w:p>
        </w:tc>
      </w:tr>
      <w:tr>
        <w:tc>
          <w:tcPr>
            <w:tcW w:type="dxa" w:w="4703"/>
            <w:shd w:val="clear" w:color="auto" w:fill="F4F6FB"/>
          </w:tcPr>
          <w:p>
            <w:r>
              <w:rPr>
                <w:b/>
                <w:sz w:val="20"/>
              </w:rPr>
              <w:t>Target</w:t>
            </w:r>
          </w:p>
        </w:tc>
        <w:tc>
          <w:tcPr>
            <w:tcW w:type="dxa" w:w="4703"/>
            <w:shd w:val="clear" w:color="auto" w:fill="F4F6FB"/>
          </w:tcPr>
          <w:p>
            <w:r>
              <w:rPr>
                <w:sz w:val="20"/>
              </w:rPr>
              <w:t>profit (continuous)</w:t>
            </w:r>
          </w:p>
        </w:tc>
      </w:tr>
      <w:tr>
        <w:tc>
          <w:tcPr>
            <w:tcW w:type="dxa" w:w="4703"/>
          </w:tcPr>
          <w:p>
            <w:r>
              <w:rPr>
                <w:b/>
                <w:sz w:val="20"/>
              </w:rPr>
              <w:t>Train/Test</w:t>
            </w:r>
          </w:p>
        </w:tc>
        <w:tc>
          <w:tcPr>
            <w:tcW w:type="dxa" w:w="4703"/>
          </w:tcPr>
          <w:p>
            <w:r>
              <w:rPr>
                <w:sz w:val="20"/>
              </w:rPr>
              <w:t>80% / 20% random split (random_state=42)</w:t>
            </w:r>
          </w:p>
        </w:tc>
      </w:tr>
      <w:tr>
        <w:tc>
          <w:tcPr>
            <w:tcW w:type="dxa" w:w="4703"/>
            <w:shd w:val="clear" w:color="auto" w:fill="F4F6FB"/>
          </w:tcPr>
          <w:p>
            <w:r>
              <w:rPr>
                <w:b/>
                <w:sz w:val="20"/>
              </w:rPr>
              <w:t>Metric (MAE)</w:t>
            </w:r>
          </w:p>
        </w:tc>
        <w:tc>
          <w:tcPr>
            <w:tcW w:type="dxa" w:w="4703"/>
            <w:shd w:val="clear" w:color="auto" w:fill="F4F6FB"/>
          </w:tcPr>
          <w:p>
            <w:r>
              <w:rPr>
                <w:sz w:val="20"/>
              </w:rPr>
              <w:t>Mean Absolute Error on held-out test set</w:t>
            </w:r>
          </w:p>
        </w:tc>
      </w:tr>
      <w:tr>
        <w:tc>
          <w:tcPr>
            <w:tcW w:type="dxa" w:w="4703"/>
          </w:tcPr>
          <w:p>
            <w:r>
              <w:rPr>
                <w:b/>
                <w:sz w:val="20"/>
              </w:rPr>
              <w:t>Metric (R2)</w:t>
            </w:r>
          </w:p>
        </w:tc>
        <w:tc>
          <w:tcPr>
            <w:tcW w:type="dxa" w:w="4703"/>
          </w:tcPr>
          <w:p>
            <w:r>
              <w:rPr>
                <w:sz w:val="20"/>
              </w:rPr>
              <w:t>Coefficient of determination</w:t>
            </w:r>
          </w:p>
        </w:tc>
      </w:tr>
      <w:tr>
        <w:tc>
          <w:tcPr>
            <w:tcW w:type="dxa" w:w="4703"/>
            <w:shd w:val="clear" w:color="auto" w:fill="F4F6FB"/>
          </w:tcPr>
          <w:p>
            <w:r>
              <w:rPr>
                <w:b/>
                <w:sz w:val="20"/>
              </w:rPr>
              <w:t>Saved as</w:t>
            </w:r>
          </w:p>
        </w:tc>
        <w:tc>
          <w:tcPr>
            <w:tcW w:type="dxa" w:w="4703"/>
            <w:shd w:val="clear" w:color="auto" w:fill="F4F6FB"/>
          </w:tcPr>
          <w:p>
            <w:r>
              <w:rPr>
                <w:sz w:val="20"/>
              </w:rPr>
              <w:t>models/profit_regression.pkl</w:t>
            </w:r>
          </w:p>
        </w:tc>
      </w:tr>
    </w:tbl>
    <w:p/>
    <w:p>
      <w:pPr>
        <w:spacing w:before="240" w:after="80"/>
        <w:jc w:val="left"/>
      </w:pPr>
      <w:r>
        <w:rPr>
          <w:b/>
          <w:color w:val="FF6B35"/>
          <w:sz w:val="26"/>
        </w:rPr>
        <w:t>7.2  Model 2 — Leakage Classifier</w:t>
      </w:r>
    </w:p>
    <w:p>
      <w:pPr>
        <w:spacing w:after="80"/>
      </w:pPr>
      <w:r>
        <w:rPr>
          <w:sz w:val="22"/>
        </w:rPr>
        <w:t>A GradientBoostingClassifier (100 estimators, learning rate 0.1) trained to identify orders at high risk of discount abuse (discount &gt; 10%) enabling proactive margin protection.</w:t>
      </w:r>
    </w:p>
    <w:tbl>
      <w:tblPr>
        <w:tblStyle w:val="TableGrid"/>
        <w:tblW w:type="auto" w:w="0"/>
        <w:tblLook w:firstColumn="1" w:firstRow="1" w:lastColumn="0" w:lastRow="0" w:noHBand="0" w:noVBand="1" w:val="04A0"/>
      </w:tblPr>
      <w:tblGrid>
        <w:gridCol w:w="2835"/>
        <w:gridCol w:w="5102"/>
      </w:tblGrid>
      <w:tr>
        <w:tc>
          <w:tcPr>
            <w:tcW w:type="dxa" w:w="4703"/>
            <w:shd w:val="clear" w:color="auto" w:fill="F4F6FB"/>
          </w:tcPr>
          <w:p>
            <w:r>
              <w:rPr>
                <w:b/>
                <w:sz w:val="20"/>
              </w:rPr>
              <w:t>Algorithm</w:t>
            </w:r>
          </w:p>
        </w:tc>
        <w:tc>
          <w:tcPr>
            <w:tcW w:type="dxa" w:w="4703"/>
            <w:shd w:val="clear" w:color="auto" w:fill="F4F6FB"/>
          </w:tcPr>
          <w:p>
            <w:r>
              <w:rPr>
                <w:sz w:val="20"/>
              </w:rPr>
              <w:t>GradientBoostingClassifier (scikit-learn)</w:t>
            </w:r>
          </w:p>
        </w:tc>
      </w:tr>
      <w:tr>
        <w:tc>
          <w:tcPr>
            <w:tcW w:type="dxa" w:w="4703"/>
          </w:tcPr>
          <w:p>
            <w:r>
              <w:rPr>
                <w:b/>
                <w:sz w:val="20"/>
              </w:rPr>
              <w:t>Features</w:t>
            </w:r>
          </w:p>
        </w:tc>
        <w:tc>
          <w:tcPr>
            <w:tcW w:type="dxa" w:w="4703"/>
          </w:tcPr>
          <w:p>
            <w:r>
              <w:rPr>
                <w:sz w:val="20"/>
              </w:rPr>
              <w:t>unit_price, quantity, sales, profit_margin, region, category, channel, month, age</w:t>
            </w:r>
          </w:p>
        </w:tc>
      </w:tr>
      <w:tr>
        <w:tc>
          <w:tcPr>
            <w:tcW w:type="dxa" w:w="4703"/>
            <w:shd w:val="clear" w:color="auto" w:fill="F4F6FB"/>
          </w:tcPr>
          <w:p>
            <w:r>
              <w:rPr>
                <w:b/>
                <w:sz w:val="20"/>
              </w:rPr>
              <w:t>Target</w:t>
            </w:r>
          </w:p>
        </w:tc>
        <w:tc>
          <w:tcPr>
            <w:tcW w:type="dxa" w:w="4703"/>
            <w:shd w:val="clear" w:color="auto" w:fill="F4F6FB"/>
          </w:tcPr>
          <w:p>
            <w:r>
              <w:rPr>
                <w:sz w:val="20"/>
              </w:rPr>
              <w:t>is_high_discount  (1 if discount &gt; 10%, else 0)</w:t>
            </w:r>
          </w:p>
        </w:tc>
      </w:tr>
      <w:tr>
        <w:tc>
          <w:tcPr>
            <w:tcW w:type="dxa" w:w="4703"/>
          </w:tcPr>
          <w:p>
            <w:r>
              <w:rPr>
                <w:b/>
                <w:sz w:val="20"/>
              </w:rPr>
              <w:t>Train/Test</w:t>
            </w:r>
          </w:p>
        </w:tc>
        <w:tc>
          <w:tcPr>
            <w:tcW w:type="dxa" w:w="4703"/>
          </w:tcPr>
          <w:p>
            <w:r>
              <w:rPr>
                <w:sz w:val="20"/>
              </w:rPr>
              <w:t>80% / 20% stratified split</w:t>
            </w:r>
          </w:p>
        </w:tc>
      </w:tr>
      <w:tr>
        <w:tc>
          <w:tcPr>
            <w:tcW w:type="dxa" w:w="4703"/>
            <w:shd w:val="clear" w:color="auto" w:fill="F4F6FB"/>
          </w:tcPr>
          <w:p>
            <w:r>
              <w:rPr>
                <w:b/>
                <w:sz w:val="20"/>
              </w:rPr>
              <w:t>Metrics</w:t>
            </w:r>
          </w:p>
        </w:tc>
        <w:tc>
          <w:tcPr>
            <w:tcW w:type="dxa" w:w="4703"/>
            <w:shd w:val="clear" w:color="auto" w:fill="F4F6FB"/>
          </w:tcPr>
          <w:p>
            <w:r>
              <w:rPr>
                <w:sz w:val="20"/>
              </w:rPr>
              <w:t>Accuracy, Precision, Recall, F1-Score</w:t>
            </w:r>
          </w:p>
        </w:tc>
      </w:tr>
      <w:tr>
        <w:tc>
          <w:tcPr>
            <w:tcW w:type="dxa" w:w="4703"/>
          </w:tcPr>
          <w:p>
            <w:r>
              <w:rPr>
                <w:b/>
                <w:sz w:val="20"/>
              </w:rPr>
              <w:t>Saved as</w:t>
            </w:r>
          </w:p>
        </w:tc>
        <w:tc>
          <w:tcPr>
            <w:tcW w:type="dxa" w:w="4703"/>
          </w:tcPr>
          <w:p>
            <w:r>
              <w:rPr>
                <w:sz w:val="20"/>
              </w:rPr>
              <w:t>models/leakage_classifier.pkl  +  models/leakage_scaler.pkl</w:t>
            </w:r>
          </w:p>
        </w:tc>
      </w:tr>
    </w:tbl>
    <w:p/>
    <w:p>
      <w:r>
        <w:br w:type="page"/>
      </w:r>
    </w:p>
    <w:p>
      <w:pPr>
        <w:spacing w:before="240" w:after="80"/>
        <w:jc w:val="left"/>
      </w:pPr>
      <w:r>
        <w:rPr>
          <w:b/>
          <w:color w:val="16213E"/>
          <w:sz w:val="32"/>
        </w:rPr>
        <w:t>8.  How to Run the Project</w:t>
      </w:r>
    </w:p>
    <w:p>
      <w:pPr>
        <w:spacing w:before="240" w:after="80"/>
        <w:jc w:val="left"/>
      </w:pPr>
      <w:r>
        <w:rPr>
          <w:b/>
          <w:color w:val="16213E"/>
          <w:sz w:val="24"/>
        </w:rPr>
        <w:t>Step 1 — Install dependencies</w:t>
      </w:r>
    </w:p>
    <w:p>
      <w:r>
        <w:rPr>
          <w:rFonts w:ascii="Courier New" w:hAnsi="Courier New"/>
          <w:color w:val="FF6B35"/>
          <w:sz w:val="20"/>
        </w:rPr>
        <w:t>pip install -r requirements.txt</w:t>
      </w:r>
    </w:p>
    <w:p/>
    <w:p>
      <w:pPr>
        <w:spacing w:before="240" w:after="80"/>
        <w:jc w:val="left"/>
      </w:pPr>
      <w:r>
        <w:rPr>
          <w:b/>
          <w:color w:val="16213E"/>
          <w:sz w:val="24"/>
        </w:rPr>
        <w:t>Step 2 — Run the single-file application</w:t>
      </w:r>
    </w:p>
    <w:p>
      <w:r>
        <w:rPr>
          <w:rFonts w:ascii="Courier New" w:hAnsi="Courier New"/>
          <w:color w:val="FF6B35"/>
          <w:sz w:val="20"/>
        </w:rPr>
        <w:t>cd profit_leakage_dashboard</w:t>
        <w:br/>
        <w:t>python main_app.py</w:t>
      </w:r>
    </w:p>
    <w:p/>
    <w:p>
      <w:pPr>
        <w:spacing w:before="240" w:after="80"/>
        <w:jc w:val="left"/>
      </w:pPr>
      <w:r>
        <w:rPr>
          <w:b/>
          <w:color w:val="16213E"/>
          <w:sz w:val="24"/>
        </w:rPr>
        <w:t>Step 3 — Open the dashboard</w:t>
      </w:r>
    </w:p>
    <w:p>
      <w:r>
        <w:rPr>
          <w:rFonts w:ascii="Courier New" w:hAnsi="Courier New"/>
          <w:color w:val="FF6B35"/>
          <w:sz w:val="20"/>
        </w:rPr>
        <w:t>http://127.0.0.1:8050</w:t>
      </w:r>
    </w:p>
    <w:p/>
    <w:p>
      <w:pPr>
        <w:spacing w:before="240" w:after="80"/>
        <w:jc w:val="left"/>
      </w:pPr>
      <w:r>
        <w:rPr>
          <w:b/>
          <w:color w:val="16213E"/>
          <w:sz w:val="24"/>
        </w:rPr>
        <w:t>Step 4 — Use the filters</w:t>
      </w:r>
    </w:p>
    <w:p>
      <w:r>
        <w:rPr>
          <w:rFonts w:ascii="Courier New" w:hAnsi="Courier New"/>
          <w:color w:val="FF6B35"/>
          <w:sz w:val="20"/>
        </w:rPr>
        <w:t>Select Category, Region, Channel, or Date Range — all tabs update live.</w:t>
      </w:r>
    </w:p>
    <w:p/>
    <w:p>
      <w:r>
        <w:br w:type="page"/>
      </w:r>
    </w:p>
    <w:p>
      <w:pPr>
        <w:spacing w:before="240" w:after="80"/>
        <w:jc w:val="left"/>
      </w:pPr>
      <w:r>
        <w:rPr>
          <w:b/>
          <w:color w:val="16213E"/>
          <w:sz w:val="32"/>
        </w:rPr>
        <w:t>9.  Business Recommendations</w:t>
      </w:r>
    </w:p>
    <w:p>
      <w:pPr>
        <w:pStyle w:val="ListBullet"/>
      </w:pPr>
      <w:r>
        <w:rPr>
          <w:b/>
          <w:color w:val="FF6B35"/>
          <w:sz w:val="22"/>
        </w:rPr>
        <w:t xml:space="preserve">Cap Blanket Discounts: </w:t>
      </w:r>
      <w:r>
        <w:rPr>
          <w:sz w:val="22"/>
        </w:rPr>
        <w:t>Electronics accounts for the largest leakage. Discount thresholds of 5% should be enforced programmatically to reduce the Rs. 1.50 Cr annual leakage.</w:t>
      </w:r>
    </w:p>
    <w:p>
      <w:pPr>
        <w:pStyle w:val="ListBullet"/>
      </w:pPr>
      <w:r>
        <w:rPr>
          <w:b/>
          <w:color w:val="FF6B35"/>
          <w:sz w:val="22"/>
        </w:rPr>
        <w:t xml:space="preserve">Leverage Festive Seasons: </w:t>
      </w:r>
      <w:r>
        <w:rPr>
          <w:sz w:val="22"/>
        </w:rPr>
        <w:t>A +4.91% uplift during festive months indicates strong consumer intent. Targeted promotions with controlled margins (not blanket discounts) can amplify this further.</w:t>
      </w:r>
    </w:p>
    <w:p>
      <w:pPr>
        <w:pStyle w:val="ListBullet"/>
      </w:pPr>
      <w:r>
        <w:rPr>
          <w:b/>
          <w:color w:val="FF6B35"/>
          <w:sz w:val="22"/>
        </w:rPr>
        <w:t xml:space="preserve">Double Down on South Region: </w:t>
      </w:r>
      <w:r>
        <w:rPr>
          <w:sz w:val="22"/>
        </w:rPr>
        <w:t>South leads in total sales (Rs. 7.01 Cr) but also has the highest leakage (Rs. 47.24 L). Margin improvement here has the largest ROI.</w:t>
      </w:r>
    </w:p>
    <w:p>
      <w:pPr>
        <w:pStyle w:val="ListBullet"/>
      </w:pPr>
      <w:r>
        <w:rPr>
          <w:b/>
          <w:color w:val="FF6B35"/>
          <w:sz w:val="22"/>
        </w:rPr>
        <w:t xml:space="preserve">Invest in Mobile App Channel: </w:t>
      </w:r>
      <w:r>
        <w:rPr>
          <w:sz w:val="22"/>
        </w:rPr>
        <w:t>Mobile App orders show high repeat purchase rates and strong ratings. Increasing app-exclusive offers can shift mix towards higher-margin orders.</w:t>
      </w:r>
    </w:p>
    <w:p>
      <w:pPr>
        <w:pStyle w:val="ListBullet"/>
      </w:pPr>
      <w:r>
        <w:rPr>
          <w:b/>
          <w:color w:val="FF6B35"/>
          <w:sz w:val="22"/>
        </w:rPr>
        <w:t xml:space="preserve">Target 26-35 Age Segment: </w:t>
      </w:r>
      <w:r>
        <w:rPr>
          <w:sz w:val="22"/>
        </w:rPr>
        <w:t>This demographic shows the highest sales volume and responds well to UPI-based promotions aligned with festive campaigns.</w:t>
      </w:r>
    </w:p>
    <w:p>
      <w:pPr>
        <w:pStyle w:val="ListBullet"/>
      </w:pPr>
      <w:r>
        <w:rPr>
          <w:b/>
          <w:color w:val="FF6B35"/>
          <w:sz w:val="22"/>
        </w:rPr>
        <w:t xml:space="preserve">Use ML Classifier in POS Systems: </w:t>
      </w:r>
      <w:r>
        <w:rPr>
          <w:sz w:val="22"/>
        </w:rPr>
        <w:t>Embedding the leakage classifier in point-of-sale workflows can flag orders where a &gt;10% discount is being applied and prompt manager approval.</w:t>
      </w:r>
    </w:p>
    <w:p/>
    <w:p>
      <w:pPr>
        <w:spacing w:before="240" w:after="80"/>
        <w:jc w:val="left"/>
      </w:pPr>
      <w:r>
        <w:rPr>
          <w:b/>
          <w:color w:val="16213E"/>
          <w:sz w:val="32"/>
        </w:rPr>
        <w:t>10.  Conclusion</w:t>
      </w:r>
    </w:p>
    <w:p>
      <w:pPr>
        <w:spacing w:after="80"/>
      </w:pPr>
      <w:r>
        <w:rPr>
          <w:sz w:val="22"/>
        </w:rPr>
        <w:t>This project demonstrates a complete end-to-end data science and business intelligence solution for an Indian retail business. Starting from raw transactional data, it delivers actionable insights through interactive visualisations, quantifies profit leakage with precision, and provides predictive ML models to proactively manage discount risk.</w:t>
      </w:r>
    </w:p>
    <w:p>
      <w:pPr>
        <w:spacing w:after="80"/>
      </w:pPr>
      <w:r>
        <w:rPr>
          <w:sz w:val="22"/>
        </w:rPr>
        <w:t>The single-file architecture (main_app.py) ensures easy deployment and portability. All analytical logic, ML training, and dashboard UI are co-located, making the project straightforward to maintain, extend, and hand off to business stakeholders.</w:t>
      </w:r>
    </w:p>
    <w:p/>
    <w:p>
      <w:pPr>
        <w:spacing w:after="80"/>
      </w:pPr>
      <w:r>
        <w:rPr>
          <w:sz w:val="20"/>
        </w:rPr>
        <w:t>Report generated on 05 October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