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FSD - Vendor Ageing Report Enhancement</w:t>
      </w:r>
    </w:p>
    <w:p>
      <w:pPr>
        <w:pStyle w:val="Heading1"/>
      </w:pPr>
      <w:r>
        <w:t xml:space="preserve">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t xml:space="preserve">Item</w:t>
            </w:r>
          </w:p>
        </w:tc>
        <w:tc>
          <w:tcPr>
            <w:tcW w:type="dxa" w:w="6000"/>
          </w:tcPr>
          <w:p>
            <w: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t xml:space="preserve">Author</w:t>
            </w:r>
          </w:p>
        </w:tc>
        <w:tc>
          <w:tcPr>
            <w:tcW w:type="dxa" w:w="6000"/>
          </w:tcPr>
          <w:p>
            <w:r>
              <w:t xml:space="preserve">Functional Consultant, FI</w:t>
            </w:r>
          </w:p>
        </w:tc>
      </w:tr>
      <w:tr>
        <w:tc>
          <w:tcPr>
            <w:tcW w:type="dxa" w:w="3000"/>
          </w:tcPr>
          <w:p>
            <w:r>
              <w:t xml:space="preserve">Version</w:t>
            </w:r>
          </w:p>
        </w:tc>
        <w:tc>
          <w:tcPr>
            <w:tcW w:type="dxa" w:w="6000"/>
          </w:tcPr>
          <w:p>
            <w:r>
              <w:t xml:space="preserve">1.1</w:t>
            </w:r>
          </w:p>
        </w:tc>
      </w:tr>
      <w:tr>
        <w:tc>
          <w:tcPr>
            <w:tcW w:type="dxa" w:w="3000"/>
          </w:tcPr>
          <w:p>
            <w:r>
              <w:t xml:space="preserve">Status</w:t>
            </w:r>
          </w:p>
        </w:tc>
        <w:tc>
          <w:tcPr>
            <w:tcW w:type="dxa" w:w="6000"/>
          </w:tcPr>
          <w:p>
            <w:r>
              <w:t xml:space="preserve">Approved</w:t>
            </w:r>
          </w:p>
        </w:tc>
      </w:tr>
      <w:tr>
        <w:tc>
          <w:tcPr>
            <w:tcW w:type="dxa" w:w="3000"/>
          </w:tcPr>
          <w:p>
            <w:r>
              <w:t xml:space="preserve">Module</w:t>
            </w:r>
          </w:p>
        </w:tc>
        <w:tc>
          <w:tcPr>
            <w:tcW w:type="dxa" w:w="6000"/>
          </w:tcPr>
          <w:p>
            <w:r>
              <w:t xml:space="preserve">FI-AP</w:t>
            </w:r>
          </w:p>
        </w:tc>
      </w:tr>
    </w:tbl>
    <w:p>
      <w:pPr>
        <w:pStyle w:val="Heading1"/>
      </w:pPr>
      <w:r>
        <w:t xml:space="preserve">1. Business Requirement</w:t>
      </w:r>
    </w:p>
    <w:p>
      <w:r>
        <w:t xml:space="preserve">Finance needs a vendor ageing analysis of open payables by due-date bucket per company code and vendor to support the weekly cash forecast. The existing vendor ageing report covers the basic ageing but the finance team requires additional buckets, a summary by vendor group and an automatic weekly e-mail of the result to the treasury distribution list.</w:t>
      </w:r>
    </w:p>
    <w:p>
      <w:pPr>
        <w:pStyle w:val="Heading1"/>
      </w:pPr>
      <w:r>
        <w:t xml:space="preserve">2. Selection Screen</w:t>
      </w:r>
    </w:p>
    <w:p>
      <w:pPr>
        <w:pStyle w:val="ListParagraph"/>
        <w:numPr>
          <w:ilvl w:val="0"/>
          <w:numId w:val="2"/>
        </w:numPr>
      </w:pPr>
      <w:r>
        <w:t xml:space="preserve">Company code (BUKRS) as mandatory select-option.</w:t>
      </w:r>
    </w:p>
    <w:p>
      <w:pPr>
        <w:pStyle w:val="ListParagraph"/>
        <w:numPr>
          <w:ilvl w:val="0"/>
          <w:numId w:val="2"/>
        </w:numPr>
      </w:pPr>
      <w:r>
        <w:t xml:space="preserve">Vendor number (LIFNR) as optional select-option.</w:t>
      </w:r>
    </w:p>
    <w:p>
      <w:pPr>
        <w:pStyle w:val="ListParagraph"/>
        <w:numPr>
          <w:ilvl w:val="0"/>
          <w:numId w:val="2"/>
        </w:numPr>
      </w:pPr>
      <w:r>
        <w:t xml:space="preserve">Key date for the ageing calculation, defaulted to today.</w:t>
      </w:r>
    </w:p>
    <w:p>
      <w:pPr>
        <w:pStyle w:val="ListParagraph"/>
        <w:numPr>
          <w:ilvl w:val="0"/>
          <w:numId w:val="2"/>
        </w:numPr>
      </w:pPr>
      <w:r>
        <w:t xml:space="preserve">Ageing bucket definition (0-30, 31-60, 61-90, 91-180, above 180 days) as parameters so the buckets can be changed without development.</w:t>
      </w:r>
    </w:p>
    <w:p>
      <w:pPr>
        <w:pStyle w:val="ListParagraph"/>
        <w:numPr>
          <w:ilvl w:val="0"/>
          <w:numId w:val="2"/>
        </w:numPr>
      </w:pPr>
      <w:r>
        <w:t xml:space="preserve">Checkbox to send the result by e-mail instead of displaying it, for the background run.</w:t>
      </w:r>
    </w:p>
    <w:p>
      <w:pPr>
        <w:pStyle w:val="Heading1"/>
      </w:pPr>
      <w:r>
        <w:t xml:space="preserve">3. Processing Logic</w:t>
      </w:r>
    </w:p>
    <w:p>
      <w:pPr>
        <w:pStyle w:val="ListParagraph"/>
        <w:numPr>
          <w:ilvl w:val="0"/>
          <w:numId w:val="2"/>
        </w:numPr>
      </w:pPr>
      <w:r>
        <w:t xml:space="preserve">The report shall read vendor open items (BSIK / ACDOCA) for the selected company codes as of the key date.</w:t>
      </w:r>
    </w:p>
    <w:p>
      <w:pPr>
        <w:pStyle w:val="ListParagraph"/>
        <w:numPr>
          <w:ilvl w:val="0"/>
          <w:numId w:val="2"/>
        </w:numPr>
      </w:pPr>
      <w:r>
        <w:t xml:space="preserve">The net due date shall be calculated from the baseline date and payment terms and each item assigned to an ageing bucket.</w:t>
      </w:r>
    </w:p>
    <w:p>
      <w:pPr>
        <w:pStyle w:val="ListParagraph"/>
        <w:numPr>
          <w:ilvl w:val="0"/>
          <w:numId w:val="2"/>
        </w:numPr>
      </w:pPr>
      <w:r>
        <w:t xml:space="preserve">Amounts shall be shown in local currency and in document currency; the local currency total per bucket shall be calculated.</w:t>
      </w:r>
    </w:p>
    <w:p>
      <w:pPr>
        <w:pStyle w:val="ListParagraph"/>
        <w:numPr>
          <w:ilvl w:val="0"/>
          <w:numId w:val="2"/>
        </w:numPr>
      </w:pPr>
      <w:r>
        <w:t xml:space="preserve">Vendor name and vendor group shall be read from the vendor master (LFA1) and a subtotal per vendor group shall be provided.</w:t>
      </w:r>
    </w:p>
    <w:p>
      <w:pPr>
        <w:pStyle w:val="ListParagraph"/>
        <w:numPr>
          <w:ilvl w:val="0"/>
          <w:numId w:val="2"/>
        </w:numPr>
      </w:pPr>
      <w:r>
        <w:t xml:space="preserve">Items with a payment block must be shown in a separate column.</w:t>
      </w:r>
    </w:p>
    <w:p>
      <w:pPr>
        <w:pStyle w:val="Heading1"/>
      </w:pPr>
      <w:r>
        <w:t xml:space="preserve">4. Output</w:t>
      </w:r>
    </w:p>
    <w:p>
      <w:pPr>
        <w:pStyle w:val="ListParagraph"/>
        <w:numPr>
          <w:ilvl w:val="0"/>
          <w:numId w:val="2"/>
        </w:numPr>
      </w:pPr>
      <w:r>
        <w:t xml:space="preserve">The result shall be displayed as an ALV grid with layout variants, totals and subtotals by vendor group.</w:t>
      </w:r>
    </w:p>
    <w:p>
      <w:pPr>
        <w:pStyle w:val="ListParagraph"/>
        <w:numPr>
          <w:ilvl w:val="0"/>
          <w:numId w:val="2"/>
        </w:numPr>
      </w:pPr>
      <w:r>
        <w:t xml:space="preserve">The user must be able to download the list to Excel.</w:t>
      </w:r>
    </w:p>
    <w:p>
      <w:pPr>
        <w:pStyle w:val="ListParagraph"/>
        <w:numPr>
          <w:ilvl w:val="0"/>
          <w:numId w:val="2"/>
        </w:numPr>
      </w:pPr>
      <w:r>
        <w:t xml:space="preserve">When the e-mail checkbox is set, the list shall be sent as an Excel attachment to the treasury distribution list maintained in a custom table.</w:t>
      </w:r>
    </w:p>
    <w:p>
      <w:pPr>
        <w:pStyle w:val="Heading1"/>
      </w:pPr>
      <w:r>
        <w:t xml:space="preserve">5. Scheduling</w:t>
      </w:r>
    </w:p>
    <w:p>
      <w:r>
        <w:t xml:space="preserve">The report shall run every Monday at 06:00 as a background job with the e-mail option so the treasury team receives the ageing before the cash forecast meeting.</w:t>
      </w:r>
    </w:p>
    <w:p>
      <w:pPr>
        <w:pStyle w:val="Heading1"/>
      </w:pPr>
      <w:r>
        <w:t xml:space="preserve">6. Authorization</w:t>
      </w:r>
    </w:p>
    <w:p>
      <w:r>
        <w:t xml:space="preserve">The report must check the company code authorization (F_BKPF_BUK) for every selected company code.</w:t>
      </w:r>
    </w:p>
    <w:p>
      <w:pPr>
        <w:pStyle w:val="Heading1"/>
      </w:pPr>
      <w:r>
        <w:t xml:space="preserve">7. Error Handling</w:t>
      </w:r>
    </w:p>
    <w:p>
      <w:r>
        <w:t xml:space="preserve">If no open items are found for the selection an information message shall be issued. Failures in e-mail sending must be written to the application log.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2026-09-06T18:10:37.626Z</dcterms:created>
  <dcterms:modified xsi:type="dcterms:W3CDTF">2026-09-06T18:10:37.627Z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