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EU Carbon Border Adjustment Mechanism and China’s Strategic Response:</w:t>
      </w:r>
      <w:r>
        <w:br/>
      </w:r>
      <w:r>
        <w:t xml:space="preserve">Carbon Pricing Realignment and Industrial Decarbonization</w:t>
      </w:r>
    </w:p>
    <w:p>
      <w:pPr>
        <w:pStyle w:val="Author"/>
      </w:pPr>
      <w:r>
        <w:t xml:space="preserve">Tang Qian</w:t>
      </w:r>
    </w:p>
    <w:p>
      <w:pPr>
        <w:pStyle w:val="Author"/>
      </w:pPr>
      <w:r>
        <w:t xml:space="preserve">Sirawit Tangchitwatthanakon</w:t>
      </w:r>
    </w:p>
    <w:p>
      <w:pPr>
        <w:pStyle w:val="Author"/>
      </w:pPr>
      <w:r>
        <w:t xml:space="preserve">Liu Xianghui</w:t>
      </w:r>
    </w:p>
    <w:p>
      <w:pPr>
        <w:pStyle w:val="Date"/>
      </w:pPr>
      <w:r>
        <w:t xml:space="preserve">IPEN 6100 / CNGF 5100: Global Environmental and Climate Policy</w:t>
      </w:r>
      <w:r>
        <w:br/>
      </w:r>
      <w:r>
        <w:t xml:space="preserve">HKUST(GZ), Spring 2026</w:t>
      </w:r>
    </w:p>
    <w:p>
      <w:pPr>
        <w:pStyle w:val="AbstractTitle"/>
      </w:pPr>
      <w:r>
        <w:t xml:space="preserve">Abstract</w:t>
      </w:r>
    </w:p>
    <w:p>
      <w:pPr>
        <w:pStyle w:val="Abstract"/>
      </w:pPr>
      <w:r>
        <w:t xml:space="preserve">(</w:t>
      </w:r>
      <m:oMath>
        <m:r>
          <m:rPr>
            <m:sty m:val="p"/>
          </m:rPr>
          <m:t>∼</m:t>
        </m:r>
      </m:oMath>
      <w:r>
        <w:rPr>
          <w:i/>
          <w:iCs/>
        </w:rPr>
        <w:t xml:space="preserve">200 words — to be written</w:t>
      </w:r>
      <w:r>
        <w:t xml:space="preser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Keywords:</w:t>
      </w:r>
      <w:r>
        <w:t xml:space="preserve"> </w:t>
      </w:r>
      <w:r>
        <w:t xml:space="preserve">CBAM; China Emissions Trading System (CN-ETS); carbon pricing convergence; industrial decarbonization; climate clubs; two-level games</w:t>
      </w:r>
    </w:p>
    <w:bookmarkStart w:id="12" w:name="sec:intro"/>
    <w:p>
      <w:pPr>
        <w:pStyle w:val="Heading1"/>
      </w:pPr>
      <w:r>
        <w:rPr>
          <w:rStyle w:val="SectionNumber"/>
        </w:rPr>
        <w:t xml:space="preserve">1</w:t>
      </w:r>
      <w:r>
        <w:tab/>
      </w:r>
      <w:r>
        <w:t xml:space="preserve">Introduction</w:t>
      </w:r>
    </w:p>
    <w:bookmarkStart w:id="9" w:name="sec:intro-freeriding"/>
    <w:p>
      <w:pPr>
        <w:pStyle w:val="Heading2"/>
      </w:pPr>
      <w:r>
        <w:rPr>
          <w:rStyle w:val="SectionNumber"/>
        </w:rPr>
        <w:t xml:space="preserve">1.1</w:t>
      </w:r>
      <w:r>
        <w:tab/>
      </w:r>
      <w:r>
        <w:t xml:space="preserve">From Free-Riding to Trade-Linked Enforcement: Why CBAM Matters</w:t>
      </w:r>
    </w:p>
    <w:p>
      <w:pPr>
        <w:pStyle w:val="FirstParagraph"/>
      </w:pPr>
      <w:r>
        <w:rPr>
          <w:i/>
          <w:iCs/>
        </w:rPr>
        <w:t xml:space="preserve">[To be written — collective action failure; Nordhaus climate club logic; CBAM as first real-world operationalization of trade-linked carbon enforcement.]</w:t>
      </w:r>
    </w:p>
    <w:bookmarkEnd w:id="9"/>
    <w:bookmarkStart w:id="10" w:name="cbams-particular-relevance-for-china"/>
    <w:p>
      <w:pPr>
        <w:pStyle w:val="Heading2"/>
      </w:pPr>
      <w:r>
        <w:rPr>
          <w:rStyle w:val="SectionNumber"/>
        </w:rPr>
        <w:t xml:space="preserve">1.2</w:t>
      </w:r>
      <w:r>
        <w:tab/>
      </w:r>
      <w:r>
        <w:t xml:space="preserve">CBAM’s Particular Relevance for China</w:t>
      </w:r>
    </w:p>
    <w:p>
      <w:pPr>
        <w:pStyle w:val="FirstParagraph"/>
      </w:pPr>
      <w:r>
        <w:rPr>
          <w:i/>
          <w:iCs/>
        </w:rPr>
        <w:t xml:space="preserve">[To be written — China as EU’s largest non-EU import partner; EUR 80 vs. EUR 13 carbon price gap; dual pressure on export competitiveness and domestic climate policy.]</w:t>
      </w:r>
    </w:p>
    <w:bookmarkEnd w:id="10"/>
    <w:bookmarkStart w:id="11" w:name="sec:intro-rq"/>
    <w:p>
      <w:pPr>
        <w:pStyle w:val="Heading2"/>
      </w:pPr>
      <w:r>
        <w:rPr>
          <w:rStyle w:val="SectionNumber"/>
        </w:rPr>
        <w:t xml:space="preserve">1.3</w:t>
      </w:r>
      <w:r>
        <w:tab/>
      </w:r>
      <w:r>
        <w:t xml:space="preserve">Research Question, Scope, and Roadmap</w:t>
      </w:r>
    </w:p>
    <w:p>
      <w:pPr>
        <w:pStyle w:val="FirstParagraph"/>
      </w:pPr>
      <w:r>
        <w:rPr>
          <w:b/>
          <w:bCs/>
        </w:rPr>
        <w:t xml:space="preserve">Research Question:</w:t>
      </w:r>
      <w:r>
        <w:t xml:space="preserve"> </w:t>
      </w:r>
      <w:r>
        <w:t xml:space="preserve">How does CBAM reshape China’s carbon pricing architecture and sectoral decarbonization pathways?</w:t>
      </w:r>
    </w:p>
    <w:p>
      <w:pPr>
        <w:pStyle w:val="BodyText"/>
      </w:pPr>
      <w:r>
        <w:rPr>
          <w:b/>
          <w:bCs/>
        </w:rPr>
        <w:t xml:space="preserve">Scope:</w:t>
      </w:r>
      <w:r>
        <w:t xml:space="preserve"> </w:t>
      </w:r>
      <w:r>
        <w:t xml:space="preserve">Steel, aluminum, and cement sectors; CN-ETS reform trajectory; 2024–2027 policy window.</w:t>
      </w:r>
    </w:p>
    <w:p>
      <w:pPr>
        <w:pStyle w:val="BodyText"/>
      </w:pPr>
      <w:r>
        <w:rPr>
          <w:i/>
          <w:iCs/>
        </w:rPr>
        <w:t xml:space="preserve">[Roadmap paragraph to be written.]</w:t>
      </w:r>
    </w:p>
    <w:bookmarkEnd w:id="11"/>
    <w:bookmarkEnd w:id="12"/>
    <w:bookmarkStart w:id="17" w:name="sec:lit"/>
    <w:p>
      <w:pPr>
        <w:pStyle w:val="Heading1"/>
      </w:pPr>
      <w:r>
        <w:rPr>
          <w:rStyle w:val="SectionNumber"/>
        </w:rPr>
        <w:t xml:space="preserve">2</w:t>
      </w:r>
      <w:r>
        <w:tab/>
      </w:r>
      <w:r>
        <w:t xml:space="preserve">Literature Review and Theoretical Framework</w:t>
      </w:r>
    </w:p>
    <w:bookmarkStart w:id="13" w:name="sec:lit-clubs"/>
    <w:p>
      <w:pPr>
        <w:pStyle w:val="Heading2"/>
      </w:pPr>
      <w:r>
        <w:rPr>
          <w:rStyle w:val="SectionNumber"/>
        </w:rPr>
        <w:t xml:space="preserve">2.1</w:t>
      </w:r>
      <w:r>
        <w:tab/>
      </w:r>
      <w:r>
        <w:t xml:space="preserve">Climate Clubs and Border Carbon Adjustments</w:t>
      </w:r>
    </w:p>
    <w:p>
      <w:pPr>
        <w:pStyle w:val="FirstParagraph"/>
      </w:pPr>
      <w:r>
        <w:rPr>
          <w:i/>
          <w:iCs/>
        </w:rPr>
        <w:t xml:space="preserve">[To be written — Nordhaus (2015) club model; conditions for stable high-abatement coalitions; CBAM as partial club implementation.]</w:t>
      </w:r>
    </w:p>
    <w:bookmarkEnd w:id="13"/>
    <w:bookmarkStart w:id="14" w:name="sec:lit-twolevel"/>
    <w:p>
      <w:pPr>
        <w:pStyle w:val="Heading2"/>
      </w:pPr>
      <w:r>
        <w:rPr>
          <w:rStyle w:val="SectionNumber"/>
        </w:rPr>
        <w:t xml:space="preserve">2.2</w:t>
      </w:r>
      <w:r>
        <w:tab/>
      </w:r>
      <w:r>
        <w:t xml:space="preserve">Two-Level Games: Linking International Pressure to Domestic Reform</w:t>
      </w:r>
    </w:p>
    <w:p>
      <w:pPr>
        <w:pStyle w:val="FirstParagraph"/>
      </w:pPr>
      <w:r>
        <w:rPr>
          <w:i/>
          <w:iCs/>
        </w:rPr>
        <w:t xml:space="preserve">[To be written — Putnam (1988) framework; how CBAM alters China’s domestic win-set.]</w:t>
      </w:r>
    </w:p>
    <w:bookmarkEnd w:id="14"/>
    <w:bookmarkStart w:id="15" w:name="sec:lit-convergence"/>
    <w:p>
      <w:pPr>
        <w:pStyle w:val="Heading2"/>
      </w:pPr>
      <w:r>
        <w:rPr>
          <w:rStyle w:val="SectionNumber"/>
        </w:rPr>
        <w:t xml:space="preserve">2.3</w:t>
      </w:r>
      <w:r>
        <w:tab/>
      </w:r>
      <w:r>
        <w:t xml:space="preserve">Carbon Pricing Convergence and Policy Diffusion</w:t>
      </w:r>
    </w:p>
    <w:p>
      <w:pPr>
        <w:pStyle w:val="FirstParagraph"/>
      </w:pPr>
      <w:r>
        <w:rPr>
          <w:i/>
          <w:iCs/>
        </w:rPr>
        <w:t xml:space="preserve">[To be written — ETS design diffusion; carbon price as cross-border policy signal; conditions under which external trade pressure accelerates domestic reform.]</w:t>
      </w:r>
    </w:p>
    <w:bookmarkEnd w:id="15"/>
    <w:bookmarkStart w:id="16" w:name="sec:lit-gaps"/>
    <w:p>
      <w:pPr>
        <w:pStyle w:val="Heading2"/>
      </w:pPr>
      <w:r>
        <w:rPr>
          <w:rStyle w:val="SectionNumber"/>
        </w:rPr>
        <w:t xml:space="preserve">2.4</w:t>
      </w:r>
      <w:r>
        <w:tab/>
      </w:r>
      <w:r>
        <w:t xml:space="preserve">Gaps in Existing Research</w:t>
      </w:r>
    </w:p>
    <w:p>
      <w:pPr>
        <w:pStyle w:val="FirstParagraph"/>
      </w:pPr>
      <w:r>
        <w:rPr>
          <w:i/>
          <w:iCs/>
        </w:rPr>
        <w:t xml:space="preserve">[To be written — most studies pre-implementation or model-based; limited empirical analysis of China’s actual policy adjustments since CBAM took effect; lack of integrated carbon pricing–industrial decarbonization analysis.]</w:t>
      </w:r>
    </w:p>
    <w:bookmarkEnd w:id="16"/>
    <w:bookmarkEnd w:id="17"/>
    <w:bookmarkStart w:id="21" w:name="sec:cbam"/>
    <w:p>
      <w:pPr>
        <w:pStyle w:val="Heading1"/>
      </w:pPr>
      <w:r>
        <w:rPr>
          <w:rStyle w:val="SectionNumber"/>
        </w:rPr>
        <w:t xml:space="preserve">3</w:t>
      </w:r>
      <w:r>
        <w:tab/>
      </w:r>
      <w:r>
        <w:t xml:space="preserve">CBAM Design and Its Transmission Channels to China</w:t>
      </w:r>
    </w:p>
    <w:bookmarkStart w:id="18" w:name="sec:cbam-arch"/>
    <w:p>
      <w:pPr>
        <w:pStyle w:val="Heading2"/>
      </w:pPr>
      <w:r>
        <w:rPr>
          <w:rStyle w:val="SectionNumber"/>
        </w:rPr>
        <w:t xml:space="preserve">3.1</w:t>
      </w:r>
      <w:r>
        <w:tab/>
      </w:r>
      <w:r>
        <w:t xml:space="preserve">CBAM Architecture: Sectors, Scope, and Phase-In</w:t>
      </w:r>
    </w:p>
    <w:p>
      <w:pPr>
        <w:pStyle w:val="FirstParagraph"/>
      </w:pPr>
      <w:r>
        <w:t xml:space="preserve">The CBAM was established under Regulation (EU) 2023/956 of the European Parliament and of the Council. It covers six sectors: steel, aluminum, cement, fertilizers, electricity, and hydrogen. The mechanism applies primarily to direct (Scope 1) embedded emissions, with partial indirect (Scope 2) coverage for electricity-intensive processes — most relevantly aluminum smelting, where importers may account for the emissions intensity of the electricity source used in production.</w:t>
      </w:r>
    </w:p>
    <w:p>
      <w:pPr>
        <w:pStyle w:val="BodyText"/>
      </w:pPr>
      <w:r>
        <w:t xml:space="preserve">Implementation follows a two-phase structure. The transitional phase (October 2023 – December 2025) requires EU importers to report embedded emissions quarterly but imposes no certificate purchase obligation. The definitive phase (from January 2026) requires importers to surrender CBAM certificates corresponding to verified embedded emissions, minus any carbon cost already paid in the country of origin. Certificate prices are set as the weekly average auction price of EU ETS allowances. This deduction mechanism is structurally central: it creates a direct fiscal incentive for exporting countries to strengthen domestic carbon pricing, as domestic carbon payments reduce — euro for euro — the CBAM liability owed to the EU.</w:t>
      </w:r>
    </w:p>
    <w:bookmarkEnd w:id="18"/>
    <w:bookmarkStart w:id="19" w:name="X6e1ff2c1d3648009d7f266d7b2b9eafcdf9ef39"/>
    <w:p>
      <w:pPr>
        <w:pStyle w:val="Heading2"/>
      </w:pPr>
      <w:r>
        <w:rPr>
          <w:rStyle w:val="SectionNumber"/>
        </w:rPr>
        <w:t xml:space="preserve">3.2</w:t>
      </w:r>
      <w:r>
        <w:tab/>
      </w:r>
      <w:r>
        <w:t xml:space="preserve">Exposure Analysis: China’s Sectoral Vulnerability</w:t>
      </w:r>
    </w:p>
    <w:p>
      <w:pPr>
        <w:pStyle w:val="FirstParagraph"/>
      </w:pPr>
      <w:r>
        <w:t xml:space="preserve">China constitutes the single largest non-EU source country for CBAM-liable exports across covered sectors, with exposure concentrated in steel and cement. Using unit-level capacity data from the Global Energy Monitor (GEM) Iron &amp; Steel Tracker (March 2026) and Cement and Concrete Tracker (July 2025), this section quantifies the structural basis of China’s sectoral exposure.</w:t>
      </w:r>
    </w:p>
    <w:p>
      <w:pPr>
        <w:pStyle w:val="BodyText"/>
      </w:pPr>
      <w:r>
        <w:rPr>
          <w:b/>
          <w:bCs/>
        </w:rPr>
        <w:t xml:space="preserve">Steel.</w:t>
      </w:r>
      <w:r>
        <w:t xml:space="preserve"> </w:t>
      </w:r>
      <w:r>
        <w:t xml:space="preserve">China’s GEM-tracked steel industry comprises 458 plants with a combined operating crude steel production capacity of 1,005 Mtpa, making it by far the world’s largest steel-producing country — accounting for approximately 54% of global crude steel production</w:t>
      </w:r>
      <w:r>
        <w:t xml:space="preserve"> </w:t>
      </w:r>
      <w:r>
        <w:t xml:space="preserve">. Of this capacity, 835.7 Mtpa (83.1%) is attributable to basic oxygen furnace (BOF) operations fed by blast furnace hot metal, and 169.5 Mtpa (16.9%) to electric arc furnace (EAF) operations. This production structure is directly relevant to CBAM exposure: BF-BOF steelmaking carries substantially higher direct (Scope 1) emissions intensity — approximately 2.1 tCO</w:t>
      </w:r>
      <w:r>
        <w:rPr>
          <w:vertAlign w:val="subscript"/>
        </w:rPr>
        <w:t xml:space="preserve">2</w:t>
      </w:r>
      <w:r>
        <w:t xml:space="preserve">/t crude steel under standard IEA benchmarks</w:t>
      </w:r>
      <w:r>
        <w:t xml:space="preserve"> </w:t>
      </w:r>
      <w:r>
        <w:t xml:space="preserve"> </w:t>
      </w:r>
      <w:r>
        <w:t xml:space="preserve">— compared with approximately 0.5 tCO</w:t>
      </w:r>
      <w:r>
        <w:rPr>
          <w:vertAlign w:val="subscript"/>
        </w:rPr>
        <w:t xml:space="preserve">2</w:t>
      </w:r>
      <w:r>
        <w:t xml:space="preserve">/t for EAF production when accounting for both direct process emissions and grid-sourced electricity consumption at China’s national grid emission factor</w:t>
      </w:r>
      <w:r>
        <w:t xml:space="preserve"> </w:t>
      </w:r>
      <w:r>
        <w:t xml:space="preserve">. The resulting 4.2:1 emissions intensity differential means that the BOF-dominated structure of China’s steel industry translates directly into higher per-tonne CBAM liability relative to EAF producers in lower-carbon jurisdictions.</w:t>
      </w:r>
    </w:p>
    <w:p>
      <w:pPr>
        <w:pStyle w:val="BodyText"/>
      </w:pPr>
      <w:r>
        <w:t xml:space="preserve">Wang et al. </w:t>
      </w:r>
      <w:r>
        <w:t xml:space="preserve"> </w:t>
      </w:r>
      <w:r>
        <w:t xml:space="preserve">estimate China’s CBAM-liable steel export costs at approximately EUR 0.78 billion under the current scope of direct CBAM coverage, rising to EUR 11.14 billion under a scenario of expanded scope incorporating downstream steel-containing products. The sharp increase reflects the downstream intensity of China’s steel trade: a large fraction of steel-embedded emissions enters the EU through manufactured goods not yet covered under the initial CBAM sectoral list. A complementary province-level analysis by</w:t>
      </w:r>
      <w:r>
        <w:t xml:space="preserve"> </w:t>
      </w:r>
      <w:r>
        <w:t xml:space="preserve">, using a GCAM-China integrated assessment model, projects direct emissions from China’s iron, steel, and aluminium EU exports at 5.4 MtCO</w:t>
      </w:r>
      <w:r>
        <w:rPr>
          <w:vertAlign w:val="subscript"/>
        </w:rPr>
        <w:t xml:space="preserve">2</w:t>
      </w:r>
      <w:r>
        <w:t xml:space="preserve"> </w:t>
      </w:r>
      <w:r>
        <w:t xml:space="preserve">by 2034, with CBAM costs reaching EUR 1,157 million; over 65% of this burden falls on Hebei, Jiangsu, Shanxi, Liaoning, and Zhejiang — a finding broadly consistent with the GEM plant-level provincial concentration data presented in Section 4.5.</w:t>
      </w:r>
    </w:p>
    <w:p>
      <w:pPr>
        <w:pStyle w:val="BodyText"/>
      </w:pPr>
      <w:r>
        <w:rPr>
          <w:b/>
          <w:bCs/>
        </w:rPr>
        <w:t xml:space="preserve">Cement.</w:t>
      </w:r>
      <w:r>
        <w:t xml:space="preserve"> </w:t>
      </w:r>
      <w:r>
        <w:t xml:space="preserve">China accounts for approximately 55% of global cement output</w:t>
      </w:r>
      <w:r>
        <w:t xml:space="preserve"> </w:t>
      </w:r>
      <w:r>
        <w:t xml:space="preserve">. The GEM Cement and Concrete Tracker (July 2025) identifies 1,016 operating cement plants in China with a combined cement production capacity of 1,772 Mtpa and clinker production capacity of 1,346 Mtpa. The derived clinker-to-cement ratio of 0.760 establishes the direct process emissions baseline: at the IPCC (2006) clinker emission factor of 0.825 tCO</w:t>
      </w:r>
      <w:r>
        <w:rPr>
          <w:vertAlign w:val="subscript"/>
        </w:rPr>
        <w:t xml:space="preserve">2</w:t>
      </w:r>
      <w:r>
        <w:t xml:space="preserve">/t clinker — comprising calcination process emissions of 0.525 tCO</w:t>
      </w:r>
      <w:r>
        <w:rPr>
          <w:vertAlign w:val="subscript"/>
        </w:rPr>
        <w:t xml:space="preserve">2</w:t>
      </w:r>
      <w:r>
        <w:t xml:space="preserve">/t and coal combustion for kiln heat of 0.300 tCO</w:t>
      </w:r>
      <w:r>
        <w:rPr>
          <w:vertAlign w:val="subscript"/>
        </w:rPr>
        <w:t xml:space="preserve">2</w:t>
      </w:r>
      <w:r>
        <w:t xml:space="preserve">/t — Chinese integrated plants emit approximately 0.627 tCO</w:t>
      </w:r>
      <w:r>
        <w:rPr>
          <w:vertAlign w:val="subscript"/>
        </w:rPr>
        <w:t xml:space="preserve">2</w:t>
      </w:r>
      <w:r>
        <w:t xml:space="preserve">/t of finished cement. Unlike steel, China’s cement production is predominantly domestically consumed, and direct CBAM exposure from cement exports to the EU is currently limited. However, any future CBAM expansion to downstream construction materials would significantly enlarge the exposed volume.</w:t>
      </w:r>
    </w:p>
    <w:p>
      <w:pPr>
        <w:pStyle w:val="BodyText"/>
      </w:pPr>
      <w:r>
        <w:rPr>
          <w:b/>
          <w:bCs/>
        </w:rPr>
        <w:t xml:space="preserve">Aluminum.</w:t>
      </w:r>
      <w:r>
        <w:t xml:space="preserve"> </w:t>
      </w:r>
      <w:r>
        <w:t xml:space="preserve">Aluminum is a CBAM-covered sector and a significant source of embedded emissions in Chinese exports. Comprehensive unit-level production data for China’s aluminum smelting operations are not available from GEM for this analysis; aluminum is therefore excluded from the quantitative sections that follow, though the carbon pricing dynamics and institutional constraints identified elsewhere remain applicable to the aluminum sector by analogy.</w:t>
      </w:r>
    </w:p>
    <w:bookmarkEnd w:id="19"/>
    <w:bookmarkStart w:id="20" w:name="sec:cbam-channels"/>
    <w:p>
      <w:pPr>
        <w:pStyle w:val="Heading2"/>
      </w:pPr>
      <w:r>
        <w:rPr>
          <w:rStyle w:val="SectionNumber"/>
        </w:rPr>
        <w:t xml:space="preserve">3.3</w:t>
      </w:r>
      <w:r>
        <w:tab/>
      </w:r>
      <w:r>
        <w:t xml:space="preserve">Transmission Channels</w:t>
      </w:r>
    </w:p>
    <w:p>
      <w:pPr>
        <w:pStyle w:val="FirstParagraph"/>
      </w:pPr>
      <w:r>
        <w:t xml:space="preserve">CBAM exerts pressure on Chinese carbon policy through three distinct mechanisms.</w:t>
      </w:r>
    </w:p>
    <w:p>
      <w:pPr>
        <w:pStyle w:val="BodyText"/>
      </w:pPr>
      <w:r>
        <w:t xml:space="preserve">The</w:t>
      </w:r>
      <w:r>
        <w:t xml:space="preserve"> </w:t>
      </w:r>
      <w:r>
        <w:rPr>
          <w:b/>
          <w:bCs/>
        </w:rPr>
        <w:t xml:space="preserve">direct cost channel</w:t>
      </w:r>
      <w:r>
        <w:t xml:space="preserve"> </w:t>
      </w:r>
      <w:r>
        <w:t xml:space="preserve">operates through CBAM certificates, which raise the landed cost of Chinese exports in the EU market. The magnitude is a function of the embedded emissions intensity of the exported product and the prevailing EU ETS price. For BF-BOF steel, which carries substantially higher embedded emissions per tonne than EAF steel, this cost imposition is proportionally larger.</w:t>
      </w:r>
    </w:p>
    <w:p>
      <w:pPr>
        <w:pStyle w:val="BodyText"/>
      </w:pPr>
      <w:r>
        <w:t xml:space="preserve">The</w:t>
      </w:r>
      <w:r>
        <w:t xml:space="preserve"> </w:t>
      </w:r>
      <w:r>
        <w:rPr>
          <w:b/>
          <w:bCs/>
        </w:rPr>
        <w:t xml:space="preserve">revenue retention incentive</w:t>
      </w:r>
      <w:r>
        <w:t xml:space="preserve"> </w:t>
      </w:r>
      <w:r>
        <w:t xml:space="preserve">operates through the deduction mechanism. When a Chinese exporter pays domestic CN-ETS compliance costs that are verified under CBAM, the CBAM surrender obligation is reduced accordingly. This converts what would otherwise be a certificate payment to the EU budget into a domestic carbon cost retained within China — captured primarily at the firm level as avoided CBAM expenditure. The mechanism gives Chinese exporters a direct financial rationale for CN-ETS expansion to their sector, and gives the central government a fiscal case for reform insofar as CN-ETS allowance auctioning generates state revenue</w:t>
      </w:r>
      <w:r>
        <w:t xml:space="preserve"> </w:t>
      </w:r>
      <w:r>
        <w:t xml:space="preserve">. However, this is not a straightforward transfer: the incentive operates through avoided firm-level costs, not as a direct state revenue stream, and its influence on Beijing’s reform calculus depends on how strongly CBAM costs are transmitted from exporters to the broader policy debate. The incentive scales with CBAM-exposed export volume: the larger China’s exposure, the stronger the firm-level and sectoral lobbying case for CN-ETS coverage.</w:t>
      </w:r>
    </w:p>
    <w:p>
      <w:pPr>
        <w:pStyle w:val="BodyText"/>
      </w:pPr>
      <w:r>
        <w:t xml:space="preserve">The</w:t>
      </w:r>
      <w:r>
        <w:t xml:space="preserve"> </w:t>
      </w:r>
      <w:r>
        <w:rPr>
          <w:b/>
          <w:bCs/>
        </w:rPr>
        <w:t xml:space="preserve">signaling channel</w:t>
      </w:r>
      <w:r>
        <w:t xml:space="preserve"> </w:t>
      </w:r>
      <w:r>
        <w:t xml:space="preserve">operates independently of firm-level trade decisions. CBAM establishes an external carbon price benchmark — the EU ETS price — that defines the threshold below which Chinese exporters face residual net liability. This benchmarks CN-ETS ambition externally, creating upward pressure on both price levels and cap stringency that is structurally independent of domestic political preferences.</w:t>
      </w:r>
    </w:p>
    <w:bookmarkEnd w:id="20"/>
    <w:bookmarkEnd w:id="21"/>
    <w:bookmarkStart w:id="30" w:name="Xbc1a647d35f7dc86e0bc94bf1d2f53353bf5a5a"/>
    <w:p>
      <w:pPr>
        <w:pStyle w:val="Heading1"/>
      </w:pPr>
      <w:r>
        <w:rPr>
          <w:rStyle w:val="SectionNumber"/>
        </w:rPr>
        <w:t xml:space="preserve">4</w:t>
      </w:r>
      <w:r>
        <w:tab/>
      </w:r>
      <w:r>
        <w:t xml:space="preserve">China’s Carbon Pricing Response and Sectoral Cost Impact</w:t>
      </w:r>
    </w:p>
    <w:bookmarkStart w:id="22" w:name="sec:china-cnets"/>
    <w:p>
      <w:pPr>
        <w:pStyle w:val="Heading2"/>
      </w:pPr>
      <w:r>
        <w:rPr>
          <w:rStyle w:val="SectionNumber"/>
        </w:rPr>
        <w:t xml:space="preserve">4.1</w:t>
      </w:r>
      <w:r>
        <w:tab/>
      </w:r>
      <w:r>
        <w:t xml:space="preserve">CN-ETS Before CBAM: Intensity Targets and Low Prices</w:t>
      </w:r>
    </w:p>
    <w:p>
      <w:pPr>
        <w:pStyle w:val="FirstParagraph"/>
      </w:pPr>
      <w:r>
        <w:t xml:space="preserve">China launched its national Emissions Trading System in February 2021, initially covering only the power generation sector, which accounts for approximately 40% of China’s total CO</w:t>
      </w:r>
      <w:r>
        <w:rPr>
          <w:vertAlign w:val="subscript"/>
        </w:rPr>
        <w:t xml:space="preserve">2</w:t>
      </w:r>
      <w:r>
        <w:t xml:space="preserve"> </w:t>
      </w:r>
      <w:r>
        <w:t xml:space="preserve">emissions</w:t>
      </w:r>
      <w:r>
        <w:t xml:space="preserve"> </w:t>
      </w:r>
      <w:r>
        <w:t xml:space="preserve">. The system operates on an intensity-based allocation mechanism: allowances are distributed based on benchmarks tied to carbon emissions per unit of electricity output. Facilities performing below the benchmark generate surplus allowances; those above must purchase additional ones.</w:t>
      </w:r>
    </w:p>
    <w:p>
      <w:pPr>
        <w:pStyle w:val="BodyText"/>
      </w:pPr>
      <w:r>
        <w:t xml:space="preserve">This design has two structural consequences. First, it does not constrain absolute emissions — if output increases, total emissions may rise even as carbon intensity per unit falls. Second, it produces weak price signals. Allowance prices have traded in the range of CNY 40–90/tCO</w:t>
      </w:r>
      <w:r>
        <w:rPr>
          <w:vertAlign w:val="subscript"/>
        </w:rPr>
        <w:t xml:space="preserve">2</w:t>
      </w:r>
      <w:r>
        <w:t xml:space="preserve"> </w:t>
      </w:r>
      <w:r>
        <w:t xml:space="preserve">(approximately EUR 5–13/tCO</w:t>
      </w:r>
      <w:r>
        <w:rPr>
          <w:vertAlign w:val="subscript"/>
        </w:rPr>
        <w:t xml:space="preserve">2</w:t>
      </w:r>
      <w:r>
        <w:t xml:space="preserve">), far below EU ETS levels, reflecting the low marginal abatement cost implied by intensity-based targets and limited allowance demand. The result is a system with constrained price discovery and insufficient incentive for capital-intensive technological decarbonization.</w:t>
      </w:r>
    </w:p>
    <w:bookmarkEnd w:id="22"/>
    <w:bookmarkStart w:id="23" w:name="sec:china-reforms"/>
    <w:p>
      <w:pPr>
        <w:pStyle w:val="Heading2"/>
      </w:pPr>
      <w:r>
        <w:rPr>
          <w:rStyle w:val="SectionNumber"/>
        </w:rPr>
        <w:t xml:space="preserve">4.2</w:t>
      </w:r>
      <w:r>
        <w:tab/>
      </w:r>
      <w:r>
        <w:t xml:space="preserve">Accelerated Reforms: From Intensity Caps to Absolute Caps</w:t>
      </w:r>
    </w:p>
    <w:p>
      <w:pPr>
        <w:pStyle w:val="FirstParagraph"/>
      </w:pPr>
      <w:r>
        <w:t xml:space="preserve">China’s Ministry of Ecology and Environment (MEE) has announced a reform trajectory aligned with CBAM’s definitive phase timeline. Three reforms are central. First, a transition from intensity-based to absolute emissions caps is planned by 2027, which would structurally constrain total national emissions rather than per-unit intensity. Second, sectoral expansion beyond power generation to include steel, cement, and aluminum — the three industries most directly exposed to CBAM — is targeted for 2025–2026. Third, a gradual introduction of allowance auctioning to replace free allocation would strengthen the price signal and generate auction revenue available for reinvestment in industrial decarbonization.</w:t>
      </w:r>
    </w:p>
    <w:p>
      <w:pPr>
        <w:pStyle w:val="BodyText"/>
      </w:pPr>
      <w:r>
        <w:t xml:space="preserve">The alignment of this reform timeline with CBAM’s definitive phase is consistent with the revenue retention incentive identified in Section 3.3. However, attribution of these reforms to CBAM pressure requires caution: China’s absolute emissions cap transition and sectoral expansion were under domestic policy development prior to CBAM’s enactment, driven by the 2020 dual carbon goals (</w:t>
      </w:r>
      <w:r>
        <w:rPr>
          <w:i/>
          <w:iCs/>
        </w:rPr>
        <w:t xml:space="preserve">shuang tan</w:t>
      </w:r>
      <w:r>
        <w:t xml:space="preserve">) — peak CO</w:t>
      </w:r>
      <w:r>
        <w:rPr>
          <w:vertAlign w:val="subscript"/>
        </w:rPr>
        <w:t xml:space="preserve">2</w:t>
      </w:r>
      <w:r>
        <w:t xml:space="preserve"> </w:t>
      </w:r>
      <w:r>
        <w:t xml:space="preserve">by 2030 and carbon neutrality by 2060. CBAM is best understood as reinforcing and potentially accelerating a reform trajectory that had domestic political momentum independently, rather than as its primary cause. The two-level games framework in Section 4.7 captures this interaction: CBAM enlarges the domestic win-set for reform by imposing external costs on the status quo, without determining the reform outcome on its own.</w:t>
      </w:r>
    </w:p>
    <w:bookmarkEnd w:id="23"/>
    <w:bookmarkStart w:id="24" w:name="sec:china-gap"/>
    <w:p>
      <w:pPr>
        <w:pStyle w:val="Heading2"/>
      </w:pPr>
      <w:r>
        <w:rPr>
          <w:rStyle w:val="SectionNumber"/>
        </w:rPr>
        <w:t xml:space="preserve">4.3</w:t>
      </w:r>
      <w:r>
        <w:tab/>
      </w:r>
      <w:r>
        <w:t xml:space="preserve">The Carbon Price Gap and Convergence Dynamics</w:t>
      </w:r>
    </w:p>
    <w:p>
      <w:pPr>
        <w:pStyle w:val="FirstParagraph"/>
      </w:pPr>
      <w:r>
        <w:t xml:space="preserve">As of 2024–2025, the EU ETS allowance price has traded in the approximate range of EUR 50–75/tCO</w:t>
      </w:r>
      <w:r>
        <w:rPr>
          <w:vertAlign w:val="subscript"/>
        </w:rPr>
        <w:t xml:space="preserve">2</w:t>
      </w:r>
      <w:r>
        <w:t xml:space="preserve">, while the CN-ETS price has remained in the range of EUR 10–13/tCO</w:t>
      </w:r>
      <w:r>
        <w:rPr>
          <w:vertAlign w:val="subscript"/>
        </w:rPr>
        <w:t xml:space="preserve">2</w:t>
      </w:r>
      <w:r>
        <w:t xml:space="preserve">. The paper’s outline uses EUR 80 vs. EUR 13 as reference values, which reflects the 2022–2023 EU ETS peak period. Analysts should note that EU ETS prices declined substantially through 2024 — reaching approximately EUR 50–65 — driven by reduced industrial demand and increased renewable penetration in EU power markets. This price movement affects the magnitude of CBAM liability calculations and should be reflected in the sensitivity analysis in Section 4.4.</w:t>
      </w:r>
    </w:p>
    <w:p>
      <w:pPr>
        <w:pStyle w:val="BodyText"/>
      </w:pPr>
      <w:r>
        <w:t xml:space="preserve">The convergence question is the degree to which CN-ETS price increases can offset CBAM liability.</w:t>
      </w:r>
      <w:r>
        <w:t xml:space="preserve"> </w:t>
      </w:r>
      <w:r>
        <w:t xml:space="preserve"> </w:t>
      </w:r>
      <w:r>
        <w:t xml:space="preserve">find that under current conditions, CN-ETS payments offset 30–60% of CBAM-induced export cost increases. Full offset requires CN-ETS price parity with the EU ETS, which implies a roughly 4–6</w:t>
      </w:r>
      <m:oMath>
        <m:r>
          <m:rPr>
            <m:sty m:val="p"/>
          </m:rPr>
          <m:t>×</m:t>
        </m:r>
      </m:oMath>
      <w:r>
        <w:t xml:space="preserve"> </w:t>
      </w:r>
      <w:r>
        <w:t xml:space="preserve">increase from current CN-ETS levels. Three scenarios structure the analysis:</w:t>
      </w:r>
    </w:p>
    <w:p>
      <w:pPr>
        <w:pStyle w:val="BodyText"/>
      </w:pPr>
      <w:r>
        <w:t xml:space="preserve">Under a</w:t>
      </w:r>
      <w:r>
        <w:t xml:space="preserve"> </w:t>
      </w:r>
      <w:r>
        <w:rPr>
          <w:b/>
          <w:bCs/>
        </w:rPr>
        <w:t xml:space="preserve">conservative path</w:t>
      </w:r>
      <w:r>
        <w:t xml:space="preserve">, CN-ETS reaches EUR 40/tCO</w:t>
      </w:r>
      <w:r>
        <w:rPr>
          <w:vertAlign w:val="subscript"/>
        </w:rPr>
        <w:t xml:space="preserve">2</w:t>
      </w:r>
      <w:r>
        <w:t xml:space="preserve"> </w:t>
      </w:r>
      <w:r>
        <w:t xml:space="preserve">by 2030, reducing but not eliminating net CBAM liability across all exposed sectors. Under a</w:t>
      </w:r>
      <w:r>
        <w:t xml:space="preserve"> </w:t>
      </w:r>
      <w:r>
        <w:rPr>
          <w:b/>
          <w:bCs/>
        </w:rPr>
        <w:t xml:space="preserve">moderate path</w:t>
      </w:r>
      <w:r>
        <w:t xml:space="preserve">, CN-ETS reaches EUR 60/tCO</w:t>
      </w:r>
      <w:r>
        <w:rPr>
          <w:vertAlign w:val="subscript"/>
        </w:rPr>
        <w:t xml:space="preserve">2</w:t>
      </w:r>
      <w:r>
        <w:t xml:space="preserve"> </w:t>
      </w:r>
      <w:r>
        <w:t xml:space="preserve">by 2030, achieving near-full offset for EAF steel — whose lower embedded emissions intensity means CBAM liability per tonne is more responsive to domestic price increases — but partial offset only for BF-BOF steel. Under</w:t>
      </w:r>
      <w:r>
        <w:t xml:space="preserve"> </w:t>
      </w:r>
      <w:r>
        <w:rPr>
          <w:b/>
          <w:bCs/>
        </w:rPr>
        <w:t xml:space="preserve">full convergence</w:t>
      </w:r>
      <w:r>
        <w:t xml:space="preserve">, CN-ETS price parity with the EU ETS theoretically eliminates net CBAM liability for any exporter with verified domestic carbon payments, though this scenario lies beyond the 2024–2027 policy window that constitutes this paper’s primary scope.</w:t>
      </w:r>
    </w:p>
    <w:bookmarkEnd w:id="24"/>
    <w:bookmarkStart w:id="26" w:name="sec:china-cost"/>
    <w:p>
      <w:pPr>
        <w:pStyle w:val="Heading2"/>
      </w:pPr>
      <w:r>
        <w:rPr>
          <w:rStyle w:val="SectionNumber"/>
        </w:rPr>
        <w:t xml:space="preserve">4.4</w:t>
      </w:r>
      <w:r>
        <w:tab/>
      </w:r>
      <w:r>
        <w:t xml:space="preserve">CBAM Cost Quantification: How Much More Must Chinese Exporters Pay?</w:t>
      </w:r>
    </w:p>
    <w:p>
      <w:pPr>
        <w:pStyle w:val="FirstParagraph"/>
      </w:pPr>
      <w:r>
        <w:t xml:space="preserve">This section operationalizes the CBAM liability formula using sector-specific emission factors derived from GEM plant-level data and standard IEA/IPCC benchmarks, and constructs a bottom-up sensitivity analysis across CN-ETS price and EU ETS price scenarios.</w:t>
      </w:r>
    </w:p>
    <w:p>
      <w:pPr>
        <w:pStyle w:val="BodyText"/>
      </w:pPr>
      <w:r>
        <w:rPr>
          <w:b/>
          <w:bCs/>
        </w:rPr>
        <w:t xml:space="preserve">Methodology.</w:t>
      </w:r>
      <w:r>
        <w:t xml:space="preserve"> </w:t>
      </w:r>
      <w:r>
        <w:t xml:space="preserve">CBAM net liability per tonne of exported product is:</w:t>
      </w:r>
    </w:p>
    <w:p>
      <w:pPr>
        <w:pStyle w:val="BodyText"/>
      </w:pPr>
      <m:oMathPara>
        <m:oMathParaPr>
          <m:jc m:val="center"/>
        </m:oMathParaPr>
        <m:oMath>
          <m:sSub>
            <m:e>
              <m:r>
                <m:rPr>
                  <m:nor/>
                  <m:sty m:val="p"/>
                </m:rPr>
                <m:t>CBAM Liability</m:t>
              </m:r>
            </m:e>
            <m:sub>
              <m:r>
                <m:t>i</m:t>
              </m:r>
            </m:sub>
          </m:sSub>
          <m:r>
            <m:rPr>
              <m:sty m:val="p"/>
            </m:rPr>
            <m:t>=</m:t>
          </m:r>
          <m:r>
            <m:rPr>
              <m:sty m:val="p"/>
            </m:rPr>
            <m:t>max</m:t>
          </m:r>
          <m:r>
            <m:t>​</m:t>
          </m:r>
          <m:d>
            <m:dPr>
              <m:begChr m:val="("/>
              <m:sepChr m:val=""/>
              <m:endChr m:val=")"/>
              <m:grow/>
            </m:dPr>
            <m:e>
              <m:r>
                <m:t>0</m:t>
              </m:r>
              <m:r>
                <m:rPr>
                  <m:sty m:val="p"/>
                </m:rPr>
                <m:t>,</m:t>
              </m:r>
              <m:r>
                <m:t> </m:t>
              </m:r>
              <m:r>
                <m:t>E</m:t>
              </m:r>
              <m:sSub>
                <m:e>
                  <m:r>
                    <m:t>F</m:t>
                  </m:r>
                </m:e>
                <m:sub>
                  <m:r>
                    <m:t>i</m:t>
                  </m:r>
                </m:sub>
              </m:sSub>
              <m:r>
                <m:rPr>
                  <m:sty m:val="p"/>
                </m:rPr>
                <m:t>×</m:t>
              </m:r>
              <m:d>
                <m:dPr>
                  <m:begChr m:val="("/>
                  <m:sepChr m:val=""/>
                  <m:endChr m:val=")"/>
                  <m:grow/>
                </m:dPr>
                <m:e>
                  <m:sSup>
                    <m:e>
                      <m:r>
                        <m:t>P</m:t>
                      </m:r>
                    </m:e>
                    <m:sup>
                      <m:r>
                        <m:rPr>
                          <m:nor/>
                          <m:sty m:val="p"/>
                        </m:rPr>
                        <m:t>EU</m:t>
                      </m:r>
                    </m:sup>
                  </m:sSup>
                  <m:r>
                    <m:rPr>
                      <m:sty m:val="p"/>
                    </m:rPr>
                    <m:t>−</m:t>
                  </m:r>
                  <m:sSup>
                    <m:e>
                      <m:r>
                        <m:t>P</m:t>
                      </m:r>
                    </m:e>
                    <m:sup>
                      <m:r>
                        <m:rPr>
                          <m:nor/>
                          <m:sty m:val="p"/>
                        </m:rPr>
                        <m:t>CN</m:t>
                      </m:r>
                    </m:sup>
                  </m:sSup>
                </m:e>
              </m:d>
            </m:e>
          </m:d>
        </m:oMath>
      </m:oMathPara>
    </w:p>
    <w:p>
      <w:pPr>
        <w:pStyle w:val="FirstParagraph"/>
      </w:pPr>
      <w:r>
        <w:t xml:space="preserve">where</w:t>
      </w:r>
      <w:r>
        <w:t xml:space="preserve"> </w:t>
      </w:r>
      <m:oMath>
        <m:r>
          <m:t>E</m:t>
        </m:r>
        <m:sSub>
          <m:e>
            <m:r>
              <m:t>F</m:t>
            </m:r>
          </m:e>
          <m:sub>
            <m:r>
              <m:t>i</m:t>
            </m:r>
          </m:sub>
        </m:sSub>
      </m:oMath>
      <w:r>
        <w:t xml:space="preserve"> </w:t>
      </w:r>
      <w:r>
        <w:t xml:space="preserve">is the embedded emissions intensity of product</w:t>
      </w:r>
      <w:r>
        <w:t xml:space="preserve"> </w:t>
      </w:r>
      <m:oMath>
        <m:r>
          <m:t>i</m:t>
        </m:r>
      </m:oMath>
      <w:r>
        <w:t xml:space="preserve"> </w:t>
      </w:r>
      <w:r>
        <w:t xml:space="preserve">(tCO</w:t>
      </w:r>
      <w:r>
        <w:rPr>
          <w:vertAlign w:val="subscript"/>
        </w:rPr>
        <w:t xml:space="preserve">2</w:t>
      </w:r>
      <w:r>
        <w:t xml:space="preserve">/t),</w:t>
      </w:r>
      <w:r>
        <w:t xml:space="preserve"> </w:t>
      </w:r>
      <m:oMath>
        <m:sSup>
          <m:e>
            <m:r>
              <m:t>P</m:t>
            </m:r>
          </m:e>
          <m:sup>
            <m:r>
              <m:rPr>
                <m:nor/>
                <m:sty m:val="p"/>
              </m:rPr>
              <m:t>EU</m:t>
            </m:r>
          </m:sup>
        </m:sSup>
      </m:oMath>
      <w:r>
        <w:t xml:space="preserve"> </w:t>
      </w:r>
      <w:r>
        <w:t xml:space="preserve">is the EU ETS certificate price (EUR/tCO</w:t>
      </w:r>
      <w:r>
        <w:rPr>
          <w:vertAlign w:val="subscript"/>
        </w:rPr>
        <w:t xml:space="preserve">2</w:t>
      </w:r>
      <w:r>
        <w:t xml:space="preserve">), and</w:t>
      </w:r>
      <w:r>
        <w:t xml:space="preserve"> </w:t>
      </w:r>
      <m:oMath>
        <m:sSup>
          <m:e>
            <m:r>
              <m:t>P</m:t>
            </m:r>
          </m:e>
          <m:sup>
            <m:r>
              <m:rPr>
                <m:nor/>
                <m:sty m:val="p"/>
              </m:rPr>
              <m:t>CN</m:t>
            </m:r>
          </m:sup>
        </m:sSup>
      </m:oMath>
      <w:r>
        <w:t xml:space="preserve"> </w:t>
      </w:r>
      <w:r>
        <w:t xml:space="preserve">is the CN-ETS price applicable to the exporting facility (EUR/tCO</w:t>
      </w:r>
      <w:r>
        <w:rPr>
          <w:vertAlign w:val="subscript"/>
        </w:rPr>
        <w:t xml:space="preserve">2</w:t>
      </w:r>
      <w:r>
        <w:t xml:space="preserve">). The deduction</w:t>
      </w:r>
      <w:r>
        <w:t xml:space="preserve"> </w:t>
      </w:r>
      <m:oMath>
        <m:r>
          <m:t>E</m:t>
        </m:r>
        <m:sSub>
          <m:e>
            <m:r>
              <m:t>F</m:t>
            </m:r>
          </m:e>
          <m:sub>
            <m:r>
              <m:t>i</m:t>
            </m:r>
          </m:sub>
        </m:sSub>
        <m:r>
          <m:rPr>
            <m:sty m:val="p"/>
          </m:rPr>
          <m:t>×</m:t>
        </m:r>
        <m:sSup>
          <m:e>
            <m:r>
              <m:t>P</m:t>
            </m:r>
          </m:e>
          <m:sup>
            <m:r>
              <m:rPr>
                <m:nor/>
                <m:sty m:val="p"/>
              </m:rPr>
              <m:t>CN</m:t>
            </m:r>
          </m:sup>
        </m:sSup>
      </m:oMath>
      <w:r>
        <w:t xml:space="preserve"> </w:t>
      </w:r>
      <w:r>
        <w:t xml:space="preserve">represents the domestic carbon cost already paid and verified, which CBAM allows to be subtracted from the surrender obligation. Critically, this deduction applies only to sectors actively covered under CN-ETS: steel and cement producers face</w:t>
      </w:r>
      <w:r>
        <w:t xml:space="preserve"> </w:t>
      </w:r>
      <m:oMath>
        <m:sSup>
          <m:e>
            <m:r>
              <m:t>P</m:t>
            </m:r>
          </m:e>
          <m:sup>
            <m:r>
              <m:rPr>
                <m:nor/>
                <m:sty m:val="p"/>
              </m:rPr>
              <m:t>CN</m:t>
            </m:r>
          </m:sup>
        </m:sSup>
        <m:r>
          <m:rPr>
            <m:sty m:val="p"/>
          </m:rPr>
          <m:t>=</m:t>
        </m:r>
        <m:r>
          <m:t>0</m:t>
        </m:r>
      </m:oMath>
      <w:r>
        <w:t xml:space="preserve"> </w:t>
      </w:r>
      <w:r>
        <w:t xml:space="preserve">until CN-ETS sectoral expansion is complete, meaning the full embedded emissions are liable regardless of the prevailing CN-ETS price.</w:t>
      </w:r>
    </w:p>
    <w:p>
      <w:pPr>
        <w:pStyle w:val="BodyText"/>
      </w:pPr>
      <w:r>
        <w:rPr>
          <w:b/>
          <w:bCs/>
        </w:rPr>
        <w:t xml:space="preserve">Emission factors.</w:t>
      </w:r>
      <w:r>
        <w:t xml:space="preserve"> </w:t>
      </w:r>
      <w:r>
        <w:t xml:space="preserve">The analysis applies three sector-specific emission factors grounded in GEM data and international benchmarks:</w:t>
      </w:r>
    </w:p>
    <w:p>
      <w:pPr>
        <w:numPr>
          <w:ilvl w:val="0"/>
          <w:numId w:val="1001"/>
        </w:numPr>
      </w:pPr>
      <w:r>
        <w:rPr>
          <w:b/>
          <w:bCs/>
        </w:rPr>
        <w:t xml:space="preserve">BF-BOF crude steel: 2.1 tCO</w:t>
      </w:r>
      <w:r>
        <w:rPr>
          <w:b/>
          <w:bCs/>
          <w:vertAlign w:val="subscript"/>
        </w:rPr>
        <w:t xml:space="preserve">2</w:t>
      </w:r>
      <w:r>
        <w:rPr>
          <w:b/>
          <w:bCs/>
        </w:rPr>
        <w:t xml:space="preserve">/t.</w:t>
      </w:r>
      <w:r>
        <w:t xml:space="preserve"> </w:t>
      </w:r>
      <w:r>
        <w:t xml:space="preserve">Scope 1 direct emissions per IEA Energy Technology Perspectives</w:t>
      </w:r>
      <w:r>
        <w:t xml:space="preserve"> </w:t>
      </w:r>
      <w:r>
        <w:t xml:space="preserve">. China’s BF-BOF process reflects near-exclusive reliance on coking coal as the blast furnace reductant, producing approximately 854.5 Mtpa of hot metal across 599 operating blast furnaces tracked in the GEM Iron Unit dataset (March 2026).</w:t>
      </w:r>
    </w:p>
    <w:p>
      <w:pPr>
        <w:numPr>
          <w:ilvl w:val="0"/>
          <w:numId w:val="1001"/>
        </w:numPr>
      </w:pPr>
      <w:r>
        <w:rPr>
          <w:b/>
          <w:bCs/>
        </w:rPr>
        <w:t xml:space="preserve">EAF crude steel: 0.44 tCO</w:t>
      </w:r>
      <w:r>
        <w:rPr>
          <w:b/>
          <w:bCs/>
          <w:vertAlign w:val="subscript"/>
        </w:rPr>
        <w:t xml:space="preserve">2</w:t>
      </w:r>
      <w:r>
        <w:rPr>
          <w:b/>
          <w:bCs/>
        </w:rPr>
        <w:t xml:space="preserve">/t.</w:t>
      </w:r>
      <w:r>
        <w:t xml:space="preserve"> </w:t>
      </w:r>
      <w:r>
        <w:t xml:space="preserve">Derived from 580 kWh/t average EAF electricity consumption for Chinese scrap- and DRI-charged furnaces at China’s national average grid emission factor of 0.581 kgCO</w:t>
      </w:r>
      <w:r>
        <w:rPr>
          <w:vertAlign w:val="subscript"/>
        </w:rPr>
        <w:t xml:space="preserve">2</w:t>
      </w:r>
      <w:r>
        <w:t xml:space="preserve">/kWh</w:t>
      </w:r>
      <w:r>
        <w:t xml:space="preserve"> </w:t>
      </w:r>
      <w:r>
        <w:t xml:space="preserve">, yielding 0.337 tCO</w:t>
      </w:r>
      <w:r>
        <w:rPr>
          <w:vertAlign w:val="subscript"/>
        </w:rPr>
        <w:t xml:space="preserve">2</w:t>
      </w:r>
      <w:r>
        <w:t xml:space="preserve">/t Scope 2 electricity emissions, plus approximately 0.10 tCO</w:t>
      </w:r>
      <w:r>
        <w:rPr>
          <w:vertAlign w:val="subscript"/>
        </w:rPr>
        <w:t xml:space="preserve">2</w:t>
      </w:r>
      <w:r>
        <w:t xml:space="preserve">/t direct Scope 1 process emissions (electrodes, supplementary carbon). Chinese EAF electricity consumption (580 kWh/t) exceeds the global benchmark of</w:t>
      </w:r>
      <w:r>
        <w:t xml:space="preserve"> </w:t>
      </w:r>
      <m:oMath>
        <m:r>
          <m:rPr>
            <m:sty m:val="p"/>
          </m:rPr>
          <m:t>≈</m:t>
        </m:r>
      </m:oMath>
      <w:r>
        <w:t xml:space="preserve">480 kWh/t due to the higher share of DRI and cold pig iron charging in place of scrap, which carries higher melting energy requirements. CBAM covers partial Scope 2 for electricity-intensive steel processes.</w:t>
      </w:r>
    </w:p>
    <w:p>
      <w:pPr>
        <w:numPr>
          <w:ilvl w:val="0"/>
          <w:numId w:val="1001"/>
        </w:numPr>
      </w:pPr>
      <w:r>
        <w:rPr>
          <w:b/>
          <w:bCs/>
        </w:rPr>
        <w:t xml:space="preserve">Cement: 0.627 tCO</w:t>
      </w:r>
      <w:r>
        <w:rPr>
          <w:b/>
          <w:bCs/>
          <w:vertAlign w:val="subscript"/>
        </w:rPr>
        <w:t xml:space="preserve">2</w:t>
      </w:r>
      <w:r>
        <w:rPr>
          <w:b/>
          <w:bCs/>
        </w:rPr>
        <w:t xml:space="preserve">/t finished cement.</w:t>
      </w:r>
      <w:r>
        <w:t xml:space="preserve"> </w:t>
      </w:r>
      <w:r>
        <w:t xml:space="preserve">Derived from GEM Cement Tracker data: clinker-to-cement ratio of 0.760</w:t>
      </w:r>
      <w:r>
        <w:t xml:space="preserve"> </w:t>
      </w:r>
      <m:oMath>
        <m:r>
          <m:rPr>
            <m:sty m:val="p"/>
          </m:rPr>
          <m:t>×</m:t>
        </m:r>
      </m:oMath>
      <w:r>
        <w:t xml:space="preserve"> </w:t>
      </w:r>
      <w:r>
        <w:t xml:space="preserve">IPCC (2006) clinker emission factor of 0.825 tCO</w:t>
      </w:r>
      <w:r>
        <w:rPr>
          <w:vertAlign w:val="subscript"/>
        </w:rPr>
        <w:t xml:space="preserve">2</w:t>
      </w:r>
      <w:r>
        <w:t xml:space="preserve">/t clinker (calcination: 0.525; coal combustion: 0.300). This is consistent with a sector where 77% of China’s 1,016 GEM-tracked operating plants are fully integrated clinker-and-cement facilities.</w:t>
      </w:r>
    </w:p>
    <w:p>
      <w:pPr>
        <w:pStyle w:val="FirstParagraph"/>
      </w:pPr>
      <w:r>
        <w:rPr>
          <w:b/>
          <w:bCs/>
        </w:rPr>
        <w:t xml:space="preserve">Sensitivity analysis.</w:t>
      </w:r>
      <w:r>
        <w:t xml:space="preserve"> </w:t>
      </w:r>
      <w:r>
        <w:t xml:space="preserve">Table </w:t>
      </w:r>
      <w:hyperlink w:anchor="tab:cbam_liability">
        <w:r>
          <w:rPr>
            <w:rStyle w:val="Hyperlink"/>
          </w:rPr>
          <w:t xml:space="preserve">1</w:t>
        </w:r>
      </w:hyperlink>
      <w:r>
        <w:t xml:space="preserve"> </w:t>
      </w:r>
      <w:r>
        <w:t xml:space="preserve">presents net CBAM liability per tonne under two EU ETS price scenarios — EUR 65/tCO</w:t>
      </w:r>
      <w:r>
        <w:rPr>
          <w:vertAlign w:val="subscript"/>
        </w:rPr>
        <w:t xml:space="preserve">2</w:t>
      </w:r>
      <w:r>
        <w:t xml:space="preserve"> </w:t>
      </w:r>
      <w:r>
        <w:t xml:space="preserve">(approximate 2024–2025 average as noted in Section 4.3) and EUR 80/tCO</w:t>
      </w:r>
      <w:r>
        <w:rPr>
          <w:vertAlign w:val="subscript"/>
        </w:rPr>
        <w:t xml:space="preserve">2</w:t>
      </w:r>
      <w:r>
        <w:t xml:space="preserve"> </w:t>
      </w:r>
      <w:r>
        <w:t xml:space="preserve">(2022–2023 peak) — and across four CN-ETS conditions. Rows 1 and 2 reflect the current state (not covered vs. covered at EUR 13); rows 3–5 reflect the post-expansion reform trajectory.</w:t>
      </w:r>
    </w:p>
    <w:bookmarkStart w:id="25" w:name="tab:cbam_liability"/>
    <w:p>
      <w:pPr>
        <w:pStyle w:val="TableCaption"/>
      </w:pPr>
      <w:r>
        <w:t xml:space="preserve">Net CBAM Liability per Tonne of Product by CN-ETS Coverage and Price Scenario</w:t>
      </w:r>
    </w:p>
    <w:tbl>
      <w:tblPr>
        <w:tblStyle w:val="Table"/>
        <w:tblW w:type="auto" w:w="0"/>
        <w:tblLook w:firstRow="1" w:lastRow="0" w:firstColumn="0" w:lastColumn="0" w:noHBand="0" w:noVBand="0" w:val="0020"/>
        <w:tblCaption w:val="Net CBAM Liability per Tonne of Product by CN-ETS Coverage and Price Scenario"/>
      </w:tblPr>
      <w:tblGrid>
        <w:gridCol w:w="1131"/>
        <w:gridCol w:w="1131"/>
        <w:gridCol w:w="1131"/>
        <w:gridCol w:w="1131"/>
        <w:gridCol w:w="1131"/>
        <w:gridCol w:w="1131"/>
        <w:gridCol w:w="1131"/>
      </w:tblGrid>
      <w:tr>
        <w:trPr>
          <w:tblHeader w:val="on"/>
        </w:trPr>
        <w:tc>
          <w:tcPr/>
          <w:p>
            <w:pPr>
              <w:pStyle w:val="Compact"/>
            </w:pPr>
          </w:p>
        </w:tc>
        <w:tc>
          <w:tcPr>
            <w:gridSpan w:val="3"/>
          </w:tcPr>
          <w:p>
            <w:pPr>
              <w:pStyle w:val="Compact"/>
              <w:jc w:val="center"/>
            </w:pPr>
            <w:r>
              <w:rPr>
                <w:b/>
                <w:bCs/>
              </w:rPr>
              <w:t xml:space="preserve">EU ETS = EUR 65/tCO</w:t>
            </w:r>
            <w:r>
              <w:rPr>
                <w:b/>
                <w:bCs/>
                <w:vertAlign w:val="subscript"/>
              </w:rPr>
              <w:t xml:space="preserve">2</w:t>
            </w:r>
          </w:p>
        </w:tc>
        <w:tc>
          <w:tcPr>
            <w:gridSpan w:val="3"/>
          </w:tcPr>
          <w:p>
            <w:pPr>
              <w:pStyle w:val="Compact"/>
              <w:jc w:val="center"/>
            </w:pPr>
            <w:r>
              <w:rPr>
                <w:b/>
                <w:bCs/>
              </w:rPr>
              <w:t xml:space="preserve">EU ETS = EUR 80/tCO</w:t>
            </w:r>
            <w:r>
              <w:rPr>
                <w:b/>
                <w:bCs/>
                <w:vertAlign w:val="subscript"/>
              </w:rPr>
              <w:t xml:space="preserve">2</w:t>
            </w:r>
          </w:p>
        </w:tc>
      </w:tr>
      <w:tr>
        <w:tc>
          <w:tcPr/>
          <w:p>
            <w:pPr>
              <w:pStyle w:val="Compact"/>
              <w:jc w:val="left"/>
            </w:pPr>
            <w:r>
              <w:t xml:space="preserve">2-4</w:t>
            </w:r>
            <w:r>
              <w:t xml:space="preserve">(lr)</w:t>
            </w:r>
            <w:r>
              <w:t xml:space="preserve">5-7</w:t>
            </w:r>
            <w:r>
              <w:t xml:space="preserve"> </w:t>
            </w:r>
            <w:r>
              <w:rPr>
                <w:b/>
                <w:bCs/>
              </w:rPr>
              <w:t xml:space="preserve">CN-ETS Scenario</w:t>
            </w:r>
          </w:p>
        </w:tc>
        <w:tc>
          <w:tcPr/>
          <w:p>
            <w:pPr>
              <w:pStyle w:val="Compact"/>
              <w:jc w:val="right"/>
            </w:pPr>
            <w:r>
              <w:rPr>
                <w:b/>
                <w:bCs/>
              </w:rPr>
              <w:t xml:space="preserve">BF-BOF</w:t>
            </w:r>
          </w:p>
        </w:tc>
        <w:tc>
          <w:tcPr/>
          <w:p>
            <w:pPr>
              <w:pStyle w:val="Compact"/>
              <w:jc w:val="right"/>
            </w:pPr>
            <w:r>
              <w:rPr>
                <w:b/>
                <w:bCs/>
              </w:rPr>
              <w:t xml:space="preserve">EAF</w:t>
            </w:r>
          </w:p>
        </w:tc>
        <w:tc>
          <w:tcPr/>
          <w:p>
            <w:pPr>
              <w:pStyle w:val="Compact"/>
              <w:jc w:val="right"/>
            </w:pPr>
            <w:r>
              <w:rPr>
                <w:b/>
                <w:bCs/>
              </w:rPr>
              <w:t xml:space="preserve">Cement</w:t>
            </w:r>
          </w:p>
        </w:tc>
        <w:tc>
          <w:tcPr/>
          <w:p>
            <w:pPr>
              <w:pStyle w:val="Compact"/>
              <w:jc w:val="right"/>
            </w:pPr>
            <w:r>
              <w:rPr>
                <w:b/>
                <w:bCs/>
              </w:rPr>
              <w:t xml:space="preserve">BF-BOF</w:t>
            </w:r>
          </w:p>
        </w:tc>
        <w:tc>
          <w:tcPr/>
          <w:p>
            <w:pPr>
              <w:pStyle w:val="Compact"/>
              <w:jc w:val="right"/>
            </w:pPr>
            <w:r>
              <w:rPr>
                <w:b/>
                <w:bCs/>
              </w:rPr>
              <w:t xml:space="preserve">EAF</w:t>
            </w:r>
          </w:p>
        </w:tc>
        <w:tc>
          <w:tcPr/>
          <w:p>
            <w:pPr>
              <w:pStyle w:val="Compact"/>
              <w:jc w:val="right"/>
            </w:pPr>
            <w:r>
              <w:rPr>
                <w:b/>
                <w:bCs/>
              </w:rPr>
              <w:t xml:space="preserve">Cement</w:t>
            </w:r>
          </w:p>
        </w:tc>
      </w:tr>
      <w:tr>
        <w:tc>
          <w:tcPr/>
          <w:p>
            <w:pPr>
              <w:pStyle w:val="Compact"/>
            </w:pPr>
          </w:p>
        </w:tc>
        <w:tc>
          <w:tcPr/>
          <w:p>
            <w:pPr>
              <w:pStyle w:val="Compact"/>
              <w:jc w:val="right"/>
            </w:pPr>
            <w:r>
              <w:t xml:space="preserve">EUR/t</w:t>
            </w:r>
          </w:p>
        </w:tc>
        <w:tc>
          <w:tcPr/>
          <w:p>
            <w:pPr>
              <w:pStyle w:val="Compact"/>
              <w:jc w:val="right"/>
            </w:pPr>
            <w:r>
              <w:t xml:space="preserve">EUR/t</w:t>
            </w:r>
          </w:p>
        </w:tc>
        <w:tc>
          <w:tcPr/>
          <w:p>
            <w:pPr>
              <w:pStyle w:val="Compact"/>
              <w:jc w:val="right"/>
            </w:pPr>
            <w:r>
              <w:t xml:space="preserve">EUR/t</w:t>
            </w:r>
          </w:p>
        </w:tc>
        <w:tc>
          <w:tcPr/>
          <w:p>
            <w:pPr>
              <w:pStyle w:val="Compact"/>
              <w:jc w:val="right"/>
            </w:pPr>
            <w:r>
              <w:t xml:space="preserve">EUR/t</w:t>
            </w:r>
          </w:p>
        </w:tc>
        <w:tc>
          <w:tcPr/>
          <w:p>
            <w:pPr>
              <w:pStyle w:val="Compact"/>
              <w:jc w:val="right"/>
            </w:pPr>
            <w:r>
              <w:t xml:space="preserve">EUR/t</w:t>
            </w:r>
          </w:p>
        </w:tc>
        <w:tc>
          <w:tcPr/>
          <w:p>
            <w:pPr>
              <w:pStyle w:val="Compact"/>
              <w:jc w:val="right"/>
            </w:pPr>
            <w:r>
              <w:t xml:space="preserve">EUR/t</w:t>
            </w:r>
          </w:p>
        </w:tc>
      </w:tr>
      <w:tr>
        <w:tc>
          <w:tcPr/>
          <w:p>
            <w:pPr>
              <w:pStyle w:val="Compact"/>
              <w:jc w:val="left"/>
            </w:pPr>
            <w:r>
              <w:t xml:space="preserve">Not covered (current state)</w:t>
            </w:r>
          </w:p>
        </w:tc>
        <w:tc>
          <w:tcPr/>
          <w:p>
            <w:pPr>
              <w:pStyle w:val="Compact"/>
              <w:jc w:val="right"/>
            </w:pPr>
            <w:r>
              <w:t xml:space="preserve">136.5</w:t>
            </w:r>
          </w:p>
        </w:tc>
        <w:tc>
          <w:tcPr/>
          <w:p>
            <w:pPr>
              <w:pStyle w:val="Compact"/>
              <w:jc w:val="right"/>
            </w:pPr>
            <w:r>
              <w:t xml:space="preserve">28.6</w:t>
            </w:r>
          </w:p>
        </w:tc>
        <w:tc>
          <w:tcPr/>
          <w:p>
            <w:pPr>
              <w:pStyle w:val="Compact"/>
              <w:jc w:val="right"/>
            </w:pPr>
            <w:r>
              <w:t xml:space="preserve">40.8</w:t>
            </w:r>
          </w:p>
        </w:tc>
        <w:tc>
          <w:tcPr/>
          <w:p>
            <w:pPr>
              <w:pStyle w:val="Compact"/>
              <w:jc w:val="right"/>
            </w:pPr>
            <w:r>
              <w:t xml:space="preserve">168.0</w:t>
            </w:r>
          </w:p>
        </w:tc>
        <w:tc>
          <w:tcPr/>
          <w:p>
            <w:pPr>
              <w:pStyle w:val="Compact"/>
              <w:jc w:val="right"/>
            </w:pPr>
            <w:r>
              <w:t xml:space="preserve">35.2</w:t>
            </w:r>
          </w:p>
        </w:tc>
        <w:tc>
          <w:tcPr/>
          <w:p>
            <w:pPr>
              <w:pStyle w:val="Compact"/>
              <w:jc w:val="right"/>
            </w:pPr>
            <w:r>
              <w:t xml:space="preserve">50.2</w:t>
            </w:r>
          </w:p>
        </w:tc>
      </w:tr>
      <w:tr>
        <w:tc>
          <w:tcPr/>
          <w:p>
            <w:pPr>
              <w:pStyle w:val="Compact"/>
              <w:jc w:val="left"/>
            </w:pPr>
            <w:r>
              <w:t xml:space="preserve">Covered, EUR 13/tCO</w:t>
            </w:r>
            <w:r>
              <w:rPr>
                <w:vertAlign w:val="subscript"/>
              </w:rPr>
              <w:t xml:space="preserve">2</w:t>
            </w:r>
          </w:p>
        </w:tc>
        <w:tc>
          <w:tcPr/>
          <w:p>
            <w:pPr>
              <w:pStyle w:val="Compact"/>
              <w:jc w:val="right"/>
            </w:pPr>
            <w:r>
              <w:t xml:space="preserve">109.2</w:t>
            </w:r>
          </w:p>
        </w:tc>
        <w:tc>
          <w:tcPr/>
          <w:p>
            <w:pPr>
              <w:pStyle w:val="Compact"/>
              <w:jc w:val="right"/>
            </w:pPr>
            <w:r>
              <w:t xml:space="preserve">22.9</w:t>
            </w:r>
          </w:p>
        </w:tc>
        <w:tc>
          <w:tcPr/>
          <w:p>
            <w:pPr>
              <w:pStyle w:val="Compact"/>
              <w:jc w:val="right"/>
            </w:pPr>
            <w:r>
              <w:t xml:space="preserve">32.6</w:t>
            </w:r>
          </w:p>
        </w:tc>
        <w:tc>
          <w:tcPr/>
          <w:p>
            <w:pPr>
              <w:pStyle w:val="Compact"/>
              <w:jc w:val="right"/>
            </w:pPr>
            <w:r>
              <w:t xml:space="preserve">140.7</w:t>
            </w:r>
          </w:p>
        </w:tc>
        <w:tc>
          <w:tcPr/>
          <w:p>
            <w:pPr>
              <w:pStyle w:val="Compact"/>
              <w:jc w:val="right"/>
            </w:pPr>
            <w:r>
              <w:t xml:space="preserve">29.5</w:t>
            </w:r>
          </w:p>
        </w:tc>
        <w:tc>
          <w:tcPr/>
          <w:p>
            <w:pPr>
              <w:pStyle w:val="Compact"/>
              <w:jc w:val="right"/>
            </w:pPr>
            <w:r>
              <w:t xml:space="preserve">42.1</w:t>
            </w:r>
          </w:p>
        </w:tc>
      </w:tr>
      <w:tr>
        <w:tc>
          <w:tcPr/>
          <w:p>
            <w:pPr>
              <w:pStyle w:val="Compact"/>
              <w:jc w:val="left"/>
            </w:pPr>
            <w:r>
              <w:t xml:space="preserve">Covered, EUR 40/tCO</w:t>
            </w:r>
            <w:r>
              <w:rPr>
                <w:vertAlign w:val="subscript"/>
              </w:rPr>
              <w:t xml:space="preserve">2</w:t>
            </w:r>
          </w:p>
        </w:tc>
        <w:tc>
          <w:tcPr/>
          <w:p>
            <w:pPr>
              <w:pStyle w:val="Compact"/>
              <w:jc w:val="right"/>
            </w:pPr>
            <w:r>
              <w:t xml:space="preserve">52.5</w:t>
            </w:r>
          </w:p>
        </w:tc>
        <w:tc>
          <w:tcPr/>
          <w:p>
            <w:pPr>
              <w:pStyle w:val="Compact"/>
              <w:jc w:val="right"/>
            </w:pPr>
            <w:r>
              <w:t xml:space="preserve">11.0</w:t>
            </w:r>
          </w:p>
        </w:tc>
        <w:tc>
          <w:tcPr/>
          <w:p>
            <w:pPr>
              <w:pStyle w:val="Compact"/>
              <w:jc w:val="right"/>
            </w:pPr>
            <w:r>
              <w:t xml:space="preserve">15.7</w:t>
            </w:r>
          </w:p>
        </w:tc>
        <w:tc>
          <w:tcPr/>
          <w:p>
            <w:pPr>
              <w:pStyle w:val="Compact"/>
              <w:jc w:val="right"/>
            </w:pPr>
            <w:r>
              <w:t xml:space="preserve">84.0</w:t>
            </w:r>
          </w:p>
        </w:tc>
        <w:tc>
          <w:tcPr/>
          <w:p>
            <w:pPr>
              <w:pStyle w:val="Compact"/>
              <w:jc w:val="right"/>
            </w:pPr>
            <w:r>
              <w:t xml:space="preserve">17.6</w:t>
            </w:r>
          </w:p>
        </w:tc>
        <w:tc>
          <w:tcPr/>
          <w:p>
            <w:pPr>
              <w:pStyle w:val="Compact"/>
              <w:jc w:val="right"/>
            </w:pPr>
            <w:r>
              <w:t xml:space="preserve">25.1</w:t>
            </w:r>
          </w:p>
        </w:tc>
      </w:tr>
      <w:tr>
        <w:tc>
          <w:tcPr/>
          <w:p>
            <w:pPr>
              <w:pStyle w:val="Compact"/>
              <w:jc w:val="left"/>
            </w:pPr>
            <w:r>
              <w:t xml:space="preserve">Covered, EUR 60/tCO</w:t>
            </w:r>
            <w:r>
              <w:rPr>
                <w:vertAlign w:val="subscript"/>
              </w:rPr>
              <w:t xml:space="preserve">2</w:t>
            </w:r>
          </w:p>
        </w:tc>
        <w:tc>
          <w:tcPr/>
          <w:p>
            <w:pPr>
              <w:pStyle w:val="Compact"/>
              <w:jc w:val="right"/>
            </w:pPr>
            <w:r>
              <w:t xml:space="preserve">10.5</w:t>
            </w:r>
          </w:p>
        </w:tc>
        <w:tc>
          <w:tcPr/>
          <w:p>
            <w:pPr>
              <w:pStyle w:val="Compact"/>
              <w:jc w:val="right"/>
            </w:pPr>
            <w:r>
              <w:t xml:space="preserve">2.2</w:t>
            </w:r>
          </w:p>
        </w:tc>
        <w:tc>
          <w:tcPr/>
          <w:p>
            <w:pPr>
              <w:pStyle w:val="Compact"/>
              <w:jc w:val="right"/>
            </w:pPr>
            <w:r>
              <w:t xml:space="preserve">3.1</w:t>
            </w:r>
          </w:p>
        </w:tc>
        <w:tc>
          <w:tcPr/>
          <w:p>
            <w:pPr>
              <w:pStyle w:val="Compact"/>
              <w:jc w:val="right"/>
            </w:pPr>
            <w:r>
              <w:t xml:space="preserve">42.0</w:t>
            </w:r>
          </w:p>
        </w:tc>
        <w:tc>
          <w:tcPr/>
          <w:p>
            <w:pPr>
              <w:pStyle w:val="Compact"/>
              <w:jc w:val="right"/>
            </w:pPr>
            <w:r>
              <w:t xml:space="preserve">8.8</w:t>
            </w:r>
          </w:p>
        </w:tc>
        <w:tc>
          <w:tcPr/>
          <w:p>
            <w:pPr>
              <w:pStyle w:val="Compact"/>
              <w:jc w:val="right"/>
            </w:pPr>
            <w:r>
              <w:t xml:space="preserve">12.5</w:t>
            </w:r>
          </w:p>
        </w:tc>
      </w:tr>
      <w:tr>
        <w:tc>
          <w:tcPr/>
          <w:p>
            <w:pPr>
              <w:pStyle w:val="Compact"/>
              <w:jc w:val="left"/>
            </w:pPr>
            <w:r>
              <w:t xml:space="preserve">Full parity (EU ETS level)</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r>
    </w:tbl>
    <w:bookmarkEnd w:id="25"/>
    <w:p>
      <w:pPr>
        <w:pStyle w:val="BodyText"/>
      </w:pPr>
      <w:r>
        <w:br/>
      </w:r>
      <w:r>
        <w:rPr>
          <w:i/>
          <w:iCs/>
        </w:rPr>
        <w:t xml:space="preserve">Note:</w:t>
      </w:r>
      <w:r>
        <w:t xml:space="preserve"> </w:t>
      </w:r>
      <w:r>
        <w:t xml:space="preserve">Emission factors: BF-BOF 2.10 tCO</w:t>
      </w:r>
      <w:r>
        <w:rPr>
          <w:vertAlign w:val="subscript"/>
        </w:rPr>
        <w:t xml:space="preserve">2</w:t>
      </w:r>
      <w:r>
        <w:t xml:space="preserve">/t</w:t>
      </w:r>
      <w:r>
        <w:t xml:space="preserve"> </w:t>
      </w:r>
      <w:r>
        <w:t xml:space="preserve">; EAF 0.44 tCO</w:t>
      </w:r>
      <w:r>
        <w:rPr>
          <w:vertAlign w:val="subscript"/>
        </w:rPr>
        <w:t xml:space="preserve">2</w:t>
      </w:r>
      <w:r>
        <w:t xml:space="preserve">/t (580 kWh/t</w:t>
      </w:r>
      <w:r>
        <w:t xml:space="preserve"> </w:t>
      </w:r>
      <m:oMath>
        <m:r>
          <m:rPr>
            <m:sty m:val="p"/>
          </m:rPr>
          <m:t>×</m:t>
        </m:r>
      </m:oMath>
      <w:r>
        <w:t xml:space="preserve"> </w:t>
      </w:r>
      <w:r>
        <w:t xml:space="preserve">0.581 kgCO</w:t>
      </w:r>
      <w:r>
        <w:rPr>
          <w:vertAlign w:val="subscript"/>
        </w:rPr>
        <w:t xml:space="preserve">2</w:t>
      </w:r>
      <w:r>
        <w:t xml:space="preserve">/kWh + 0.10; derived from GEM and</w:t>
      </w:r>
      <w:r>
        <w:t xml:space="preserve"> </w:t>
      </w:r>
      <w:r>
        <w:t xml:space="preserve">); Cement 0.627 tCO</w:t>
      </w:r>
      <w:r>
        <w:rPr>
          <w:vertAlign w:val="subscript"/>
        </w:rPr>
        <w:t xml:space="preserve">2</w:t>
      </w:r>
      <w:r>
        <w:t xml:space="preserve">/t (GEM clinker ratio 0.760</w:t>
      </w:r>
      <w:r>
        <w:t xml:space="preserve"> </w:t>
      </w:r>
      <m:oMath>
        <m:r>
          <m:rPr>
            <m:sty m:val="p"/>
          </m:rPr>
          <m:t>×</m:t>
        </m:r>
      </m:oMath>
      <w:r>
        <w:t xml:space="preserve"> </w:t>
      </w:r>
      <w:r>
        <w:t xml:space="preserve">IPCC 0.825 tCO</w:t>
      </w:r>
      <w:r>
        <w:rPr>
          <w:vertAlign w:val="subscript"/>
        </w:rPr>
        <w:t xml:space="preserve">2</w:t>
      </w:r>
      <w:r>
        <w:t xml:space="preserve">/t clinker).</w:t>
      </w:r>
      <w:r>
        <w:t xml:space="preserve"> </w:t>
      </w:r>
      <w:r>
        <w:t xml:space="preserve">“Not covered”</w:t>
      </w:r>
      <w:r>
        <w:t xml:space="preserve"> </w:t>
      </w:r>
      <w:r>
        <w:t xml:space="preserve">row assumes</w:t>
      </w:r>
      <w:r>
        <w:t xml:space="preserve"> </w:t>
      </w:r>
      <m:oMath>
        <m:sSup>
          <m:e>
            <m:r>
              <m:t>P</m:t>
            </m:r>
          </m:e>
          <m:sup>
            <m:r>
              <m:rPr>
                <m:nor/>
                <m:sty m:val="p"/>
              </m:rPr>
              <m:t>CN</m:t>
            </m:r>
          </m:sup>
        </m:sSup>
        <m:r>
          <m:rPr>
            <m:sty m:val="p"/>
          </m:rPr>
          <m:t>=</m:t>
        </m:r>
        <m:r>
          <m:t>0</m:t>
        </m:r>
      </m:oMath>
      <w:r>
        <w:t xml:space="preserve">; steel and cement currently outside CN-ETS. Figures rounded to one decimal place.</w:t>
      </w:r>
    </w:p>
    <w:p>
      <w:pPr>
        <w:pStyle w:val="BodyText"/>
      </w:pPr>
      <w:r>
        <w:t xml:space="preserve">Three findings merit emphasis. First, under the current state, BF-BOF producers face CBAM liability of EUR 136.5/t (at EU ETS = EUR 65), representing approximately 11–15% of representative hot-rolled coil export prices in the EUR 900–1,200/t range — a materially significant cost imposition. Second, the EAF structural advantage is large and persistent: EAF producers face EUR 28.6/t vs. EUR 136.5/t for BF-BOF under identical conditions, a EUR 107.9/t competitiveness premium that is independent of CN-ETS price trajectory and rewards low-carbon technology switching directly. Third, the</w:t>
      </w:r>
      <w:r>
        <w:t xml:space="preserve"> </w:t>
      </w:r>
      <w:r>
        <w:t xml:space="preserve"> </w:t>
      </w:r>
      <w:r>
        <w:t xml:space="preserve">finding that CN-ETS currently offsets 30–60% of CBAM-induced costs is broadly consistent with Table </w:t>
      </w:r>
      <w:hyperlink w:anchor="tab:cbam_liability">
        <w:r>
          <w:rPr>
            <w:rStyle w:val="Hyperlink"/>
          </w:rPr>
          <w:t xml:space="preserve">1</w:t>
        </w:r>
      </w:hyperlink>
      <w:r>
        <w:t xml:space="preserve">: at EU ETS = EUR 80 and CN-ETS = EUR 13 (current CN-ETS level, hypothetically applied), BF-BOF offset rate is</w:t>
      </w:r>
      <w:r>
        <w:t xml:space="preserve"> </w:t>
      </w:r>
      <m:oMath>
        <m:r>
          <m:t>13</m:t>
        </m:r>
        <m:r>
          <m:rPr>
            <m:sty m:val="p"/>
          </m:rPr>
          <m:t>/</m:t>
        </m:r>
        <m:r>
          <m:t>80</m:t>
        </m:r>
        <m:r>
          <m:rPr>
            <m:sty m:val="p"/>
          </m:rPr>
          <m:t>=</m:t>
        </m:r>
        <m:r>
          <m:t>16</m:t>
        </m:r>
        <m:r>
          <m:rPr>
            <m:sty m:val="p"/>
          </m:rPr>
          <m:t>%</m:t>
        </m:r>
      </m:oMath>
      <w:r>
        <w:t xml:space="preserve">; rising to CN-ETS = EUR 40 raises this to 50%; full offset requires price parity. It is important to note, however, that steel and cement are not yet covered under CN-ETS, so the</w:t>
      </w:r>
      <w:r>
        <w:t xml:space="preserve"> </w:t>
      </w:r>
      <m:oMath>
        <m:sSup>
          <m:e>
            <m:r>
              <m:t>P</m:t>
            </m:r>
          </m:e>
          <m:sup>
            <m:r>
              <m:rPr>
                <m:nor/>
                <m:sty m:val="p"/>
              </m:rPr>
              <m:t>CN</m:t>
            </m:r>
          </m:sup>
        </m:sSup>
        <m:r>
          <m:rPr>
            <m:sty m:val="p"/>
          </m:rPr>
          <m:t>=</m:t>
        </m:r>
        <m:r>
          <m:t>0</m:t>
        </m:r>
      </m:oMath>
      <w:r>
        <w:t xml:space="preserve"> </w:t>
      </w:r>
      <w:r>
        <w:t xml:space="preserve">row reflects the operationally accurate current state — meaning the 30–60% offset estimate in Wang et al. </w:t>
      </w:r>
      <w:r>
        <w:t xml:space="preserve"> </w:t>
      </w:r>
      <w:r>
        <w:t xml:space="preserve">likely reflects a projected post-expansion scenario rather than the current policy reality.</w:t>
      </w:r>
    </w:p>
    <w:p>
      <w:pPr>
        <w:pStyle w:val="BodyText"/>
      </w:pPr>
      <w:r>
        <w:t xml:space="preserve">The aggregate fiscal outflow is significant but must be bounded carefully. Under the current CBAM scope (HS Chapter 72: iron and steel products), China’s EU-bound exports total approximately 3.4–3.8 Mt/yr in 2023–2024 per Eurostat</w:t>
      </w:r>
      <w:r>
        <w:t xml:space="preserve"> </w:t>
      </w:r>
      <w:r>
        <w:t xml:space="preserve"> </w:t>
      </w:r>
      <w:r>
        <w:t xml:space="preserve">data. Applying the BOF production share (83.1%) and current-state liabilities (BF-BOF EUR 136.5/t; EAF EUR 28.6/t; EU ETS = EUR 65) yields gross CBAM liability of approximately EUR 400–450 million for steel under the current defined scope. Wang et al. </w:t>
      </w:r>
      <w:r>
        <w:t xml:space="preserve"> </w:t>
      </w:r>
      <w:r>
        <w:t xml:space="preserve">report EUR 0.78 billion, which likely incorporates a broader product definition including embedded steel in articles (HS Chapter 73) and a higher EU ETS price assumption. Under expanded scope covering downstream steel-containing products, China’s steel-related CBAM exposure rises to EUR 11.14 billion</w:t>
      </w:r>
      <w:r>
        <w:t xml:space="preserve"> </w:t>
      </w:r>
      <w:r>
        <w:t xml:space="preserve"> </w:t>
      </w:r>
      <w:r>
        <w:t xml:space="preserve">— reflecting the degree to which embedded steel emissions enter the EU through manufactures not currently on the CBAM list. This distinction between current and projected exposure is analytically important: the immediate fiscal incentive for CN-ETS reform is lower than the expanded-scope figure implies, though still non-trivial at EUR 400–450 million annually.</w:t>
      </w:r>
    </w:p>
    <w:bookmarkEnd w:id="26"/>
    <w:bookmarkStart w:id="27" w:name="sec:china-steel"/>
    <w:p>
      <w:pPr>
        <w:pStyle w:val="Heading2"/>
      </w:pPr>
      <w:r>
        <w:rPr>
          <w:rStyle w:val="SectionNumber"/>
        </w:rPr>
        <w:t xml:space="preserve">4.5</w:t>
      </w:r>
      <w:r>
        <w:tab/>
      </w:r>
      <w:r>
        <w:t xml:space="preserve">Steel: From Blast Furnace to Electric Arc</w:t>
      </w:r>
    </w:p>
    <w:p>
      <w:pPr>
        <w:pStyle w:val="FirstParagraph"/>
      </w:pPr>
      <w:r>
        <w:t xml:space="preserve">China’s steel sector presents the most acute CBAM exposure of any covered sector, combining the world’s highest absolute production volume with an emissions-intensive technology mix that is geographically concentrated in provinces where decarbonization pathways are structurally constrained.</w:t>
      </w:r>
    </w:p>
    <w:p>
      <w:pPr>
        <w:pStyle w:val="BodyText"/>
      </w:pPr>
      <w:r>
        <w:rPr>
          <w:b/>
          <w:bCs/>
        </w:rPr>
        <w:t xml:space="preserve">Technology structure.</w:t>
      </w:r>
      <w:r>
        <w:t xml:space="preserve"> </w:t>
      </w:r>
      <w:r>
        <w:t xml:space="preserve">GEM Iron &amp; Steel Tracker data (March 2026) document 583 operating BOF units across China with a combined capacity of 835.7 Mtpa — representing 83.1% of total operating crude steel capacity — and 270 operating EAF units with a combined capacity of 169.5 Mtpa (16.9%). The blast furnace base supporting this BOF capacity comprises 599 operating units with a total hot metal capacity of 854.5 Mtpa. China’s EAF share of 16.9% compares with approximately 44% globally and over 70% in the United States</w:t>
      </w:r>
      <w:r>
        <w:t xml:space="preserve"> </w:t>
      </w:r>
      <w:r>
        <w:t xml:space="preserve">, reflecting both the relative scarcity of high-quality domestic steel scrap and the historical policy prioritization of blast furnace-based primary steel production. The sectoral CBAM cost differential is directly traceable to this technology structure: applying the emission factors from Section 4.4, China’s weighted-average embedded emissions intensity across its current production mix is approximately</w:t>
      </w:r>
      <w:r>
        <w:t xml:space="preserve"> </w:t>
      </w:r>
      <m:oMath>
        <m:r>
          <m:t>0.831</m:t>
        </m:r>
        <m:r>
          <m:rPr>
            <m:sty m:val="p"/>
          </m:rPr>
          <m:t>×</m:t>
        </m:r>
        <m:r>
          <m:t>2.10</m:t>
        </m:r>
        <m:r>
          <m:rPr>
            <m:sty m:val="p"/>
          </m:rPr>
          <m:t>+</m:t>
        </m:r>
        <m:r>
          <m:t>0.169</m:t>
        </m:r>
        <m:r>
          <m:rPr>
            <m:sty m:val="p"/>
          </m:rPr>
          <m:t>×</m:t>
        </m:r>
        <m:r>
          <m:t>0.44</m:t>
        </m:r>
        <m:r>
          <m:rPr>
            <m:sty m:val="p"/>
          </m:rPr>
          <m:t>=</m:t>
        </m:r>
        <m:r>
          <m:t>1.82</m:t>
        </m:r>
      </m:oMath>
      <w:r>
        <w:t xml:space="preserve"> tCO</w:t>
      </w:r>
      <w:r>
        <w:rPr>
          <w:vertAlign w:val="subscript"/>
        </w:rPr>
        <w:t xml:space="preserve">2</w:t>
      </w:r>
      <w:r>
        <w:t xml:space="preserve">/t of crude steel, compared with a pure EAF producer at 0.44 tCO</w:t>
      </w:r>
      <w:r>
        <w:rPr>
          <w:vertAlign w:val="subscript"/>
        </w:rPr>
        <w:t xml:space="preserve">2</w:t>
      </w:r>
      <w:r>
        <w:t xml:space="preserve">/t — a 4.1:1 ratio that constitutes the core CBAM competitiveness liability for China’s steel exports.</w:t>
      </w:r>
    </w:p>
    <w:p>
      <w:pPr>
        <w:pStyle w:val="BodyText"/>
      </w:pPr>
      <w:r>
        <w:rPr>
          <w:b/>
          <w:bCs/>
        </w:rPr>
        <w:t xml:space="preserve">Geographic concentration.</w:t>
      </w:r>
      <w:r>
        <w:t xml:space="preserve"> </w:t>
      </w:r>
      <w:r>
        <w:t xml:space="preserve">The GEM plant-level data reveal pronounced provincial concentration of BF-BOF capacity, with implications for both the aggregate CBAM exposure and the political economy of reform. Hebei province alone accounts for 199.7 Mtpa of operating BOF capacity — 23.9% of China’s national total — followed by Jiangsu (86.8 Mtpa), Liaoning (69.5 Mtpa), Shanxi (53.2 Mtpa), and Shandong (52.0 Mtpa). These five provinces collectively represent 55.2% of China’s BOF capacity. EAF capacity is distributed more broadly, with Guangdong leading at 35.4 Mtpa, followed by Hebei (17.1 Mtpa) and Jiangsu (16.5 Mtpa). The geographic overlap between the heaviest BF-BOF concentrations and provinces with structural coal dependencies — Hebei, Shanxi, Liaoning — directly reinforces the institutional constraints analysed in Section 4.7: CBAM pressure falls disproportionately on the provinces most resistant to transition.</w:t>
      </w:r>
    </w:p>
    <w:p>
      <w:pPr>
        <w:pStyle w:val="BodyText"/>
      </w:pPr>
      <w:r>
        <w:rPr>
          <w:b/>
          <w:bCs/>
        </w:rPr>
        <w:t xml:space="preserve">Decarbonization pathway.</w:t>
      </w:r>
      <w:r>
        <w:t xml:space="preserve"> </w:t>
      </w:r>
      <w:r>
        <w:t xml:space="preserve">The carbon price signal transmitted through CBAM creates a graduated incentive for technology switching from BF-BOF to EAF. At current conditions (EU ETS = EUR 65; steel outside CN-ETS), the per-tonne CBAM liability differential between BF-BOF (EUR 136.5/t) and EAF (EUR 28.6/t) is EUR 107.9/t. This differential functions as a carbon premium on EU-bound BF-BOF output that can be partially neutralised through three pathways. The most direct is product switching: dedicating EAF capacity to EU-bound export lines while directing higher-carbon BF-BOF output to domestic or non-EU markets. A second pathway is incremental EAF expansion: investment in new EAF capacity, particularly in coastal provinces with direct EU export logistics and access to imported scrap steel. A third pathway is process adjustment within BF-BOF production: energy efficiency improvements, increased scrap charging in converters (the</w:t>
      </w:r>
      <w:r>
        <w:t xml:space="preserve"> </w:t>
      </w:r>
      <w:r>
        <w:t xml:space="preserve">“scrap+BOF”</w:t>
      </w:r>
      <w:r>
        <w:t xml:space="preserve"> </w:t>
      </w:r>
      <w:r>
        <w:t xml:space="preserve">hybrid), and injection of natural gas or hydrogen as blast furnace reductants — all of which reduce the effective emissions intensity per tonne and thereby lower CBAM liability.</w:t>
      </w:r>
    </w:p>
    <w:p>
      <w:pPr>
        <w:pStyle w:val="BodyText"/>
      </w:pPr>
      <w:r>
        <w:t xml:space="preserve">The scrap supply constraint is a binding limit on the pace of BF-BOF to EAF transition in China. Unlike the United States or Europe, where accumulated steel stocks have generated abundant domestic scrap flows, China’s steel fleet is relatively young — reflecting the rapid capacity build-out of the 2000s — and domestic scrap availability per unit of production capacity remains limited. Chen et al. </w:t>
      </w:r>
      <w:r>
        <w:t xml:space="preserve"> </w:t>
      </w:r>
      <w:r>
        <w:t xml:space="preserve">project that EAF deployment in China will concentrate in Jiangsu, Guangdong, and Sichuan — precisely the provinces with the highest current EAF shares in GEM data — while CCUS deployment will be concentrated in Hebei, Shandong, Liaoning, and Jiangsu, reflecting the BF-BOF concentration identified in Section 4.5. The IEA</w:t>
      </w:r>
      <w:r>
        <w:t xml:space="preserve"> </w:t>
      </w:r>
      <w:r>
        <w:t xml:space="preserve"> </w:t>
      </w:r>
      <w:r>
        <w:t xml:space="preserve">projects that China’s scrap availability will rise substantially through 2030–2035 as end-of-life scrap from early 2000s infrastructure reaches recovery. This creates a structural timeline: near-term (2024–2027) CBAM exposure will be borne predominantly by BF-BOF producers with limited switching optionality, while medium-term (2028–2035) decarbonization will be enabled by rising scrap supply and the gradual maturation of hydrogen direct reduced iron (H-DRI) technology. The EU CBAM thus functions as a forward-looking investment signal: producers anticipating the medium-term transition have a fiscal incentive to begin EAF capacity investment earlier than a purely domestic policy signal would imply.</w:t>
      </w:r>
    </w:p>
    <w:bookmarkEnd w:id="27"/>
    <w:bookmarkStart w:id="28" w:name="sec:china-cement"/>
    <w:p>
      <w:pPr>
        <w:pStyle w:val="Heading2"/>
      </w:pPr>
      <w:r>
        <w:rPr>
          <w:rStyle w:val="SectionNumber"/>
        </w:rPr>
        <w:t xml:space="preserve">4.6</w:t>
      </w:r>
      <w:r>
        <w:tab/>
      </w:r>
      <w:r>
        <w:t xml:space="preserve">Cement: Clinker Ratio Reduction and Process Decarbonization</w:t>
      </w:r>
    </w:p>
    <w:p>
      <w:pPr>
        <w:pStyle w:val="FirstParagraph"/>
      </w:pPr>
      <w:r>
        <w:t xml:space="preserve">China’s cement sector presents a structurally distinct decarbonization challenge relative to steel. Whereas steel decarbonization is primarily a technology-switching problem (BF-BOF to EAF), cement decarbonization is constrained by the thermodynamic irreducibility of calcination: approximately 63% of cement’s direct emissions arise from the chemical decomposition of limestone (CaCO</w:t>
      </w:r>
      <w:r>
        <w:rPr>
          <w:vertAlign w:val="subscript"/>
        </w:rPr>
        <w:t xml:space="preserve">3</w:t>
      </w:r>
      <w:r>
        <w:t xml:space="preserve"> </w:t>
      </w:r>
      <m:oMath>
        <m:r>
          <m:rPr>
            <m:sty m:val="p"/>
          </m:rPr>
          <m:t>→</m:t>
        </m:r>
      </m:oMath>
      <w:r>
        <w:t xml:space="preserve"> </w:t>
      </w:r>
      <w:r>
        <w:t xml:space="preserve">CaO + CO</w:t>
      </w:r>
      <w:r>
        <w:rPr>
          <w:vertAlign w:val="subscript"/>
        </w:rPr>
        <w:t xml:space="preserve">2</w:t>
      </w:r>
      <w:r>
        <w:t xml:space="preserve">), which cannot be eliminated through fuel switching or energy efficiency alone. This makes clinker ratio reduction and carbon capture the only routes to deep decarbonization, and the current deployment of both in China is extremely limited.</w:t>
      </w:r>
    </w:p>
    <w:p>
      <w:pPr>
        <w:pStyle w:val="BodyText"/>
      </w:pPr>
      <w:r>
        <w:rPr>
          <w:b/>
          <w:bCs/>
        </w:rPr>
        <w:t xml:space="preserve">Scale and capacity.</w:t>
      </w:r>
      <w:r>
        <w:t xml:space="preserve"> </w:t>
      </w:r>
      <w:r>
        <w:t xml:space="preserve">The GEM Cement and Concrete Tracker (July 2025) identifies 1,016 operating cement plants in China with a total cement capacity of 1,772 Mtpa and clinker capacity of 1,346 Mtpa. Of these, 782 are fully integrated (clinker production and grinding) and 214 are grinding-only plants that blend purchased clinker with supplementary cementitious materials (SCMs). The clinker-to-cement ratio of 0.760 — derived from GEM aggregate capacity data — reflects the partial substitution of clinker with SCMs such as granulated blast furnace slag, fly ash from coal power plants, and natural pozzolans. This ratio is above the global average of approximately 0.73</w:t>
      </w:r>
      <w:r>
        <w:t xml:space="preserve"> </w:t>
      </w:r>
      <w:r>
        <w:t xml:space="preserve">, indicating that China’s cement sector remains more clinker-intensive than the global frontier and retains meaningful potential for emissions reduction through further clinker substitution.</w:t>
      </w:r>
    </w:p>
    <w:p>
      <w:pPr>
        <w:pStyle w:val="BodyText"/>
      </w:pPr>
      <w:r>
        <w:t xml:space="preserve">The CBAM-relevant implication is direct: applying the Section 4.4 emission factor of 0.627 tCO</w:t>
      </w:r>
      <w:r>
        <w:rPr>
          <w:vertAlign w:val="subscript"/>
        </w:rPr>
        <w:t xml:space="preserve">2</w:t>
      </w:r>
      <w:r>
        <w:t xml:space="preserve">/t finished cement to operating capacity, China’s 1,016 cement plants generate approximately 1,111 Mt CO</w:t>
      </w:r>
      <w:r>
        <w:rPr>
          <w:vertAlign w:val="subscript"/>
        </w:rPr>
        <w:t xml:space="preserve">2</w:t>
      </w:r>
      <w:r>
        <w:t xml:space="preserve">/yr in direct (Scope 1) process emissions from cement production alone. At current conditions (EU ETS = EUR 65; cement outside CN-ETS), a Chinese integrated cement producer faces EUR 40.8/t CBAM liability, declining to EUR 15.7/t if CN-ETS expands and reaches EUR 40/tCO</w:t>
      </w:r>
      <w:r>
        <w:rPr>
          <w:vertAlign w:val="subscript"/>
        </w:rPr>
        <w:t xml:space="preserve">2</w:t>
      </w:r>
      <w:r>
        <w:t xml:space="preserve"> </w:t>
      </w:r>
      <w:r>
        <w:t xml:space="preserve">(Table </w:t>
      </w:r>
      <w:hyperlink w:anchor="tab:cbam_liability">
        <w:r>
          <w:rPr>
            <w:rStyle w:val="Hyperlink"/>
          </w:rPr>
          <w:t xml:space="preserve">1</w:t>
        </w:r>
      </w:hyperlink>
      <w:r>
        <w:t xml:space="preserve">).</w:t>
      </w:r>
    </w:p>
    <w:p>
      <w:pPr>
        <w:pStyle w:val="BodyText"/>
      </w:pPr>
      <w:r>
        <w:rPr>
          <w:b/>
          <w:bCs/>
        </w:rPr>
        <w:t xml:space="preserve">CCS deployment: nascent and insufficient.</w:t>
      </w:r>
      <w:r>
        <w:t xml:space="preserve"> </w:t>
      </w:r>
      <w:r>
        <w:t xml:space="preserve"> </w:t>
      </w:r>
      <w:r>
        <w:t xml:space="preserve">find that CCS can contribute up to 77% of required emission reductions in China’s cement decarbonization pathways. Of the 1,016 operating cement plants tracked by GEM, only four report active CCS or CCUS installations — the Anhui Hailuo Baimashan plant (2.4 Mtpa capacity), the Beijing Cement Factory plant (1.96 Mtpa), the Qingzhou Zhonglian plant in Shandong (4.38 Mtpa), and the Tangshan Yannan plant in Hebei (capacity</w:t>
      </w:r>
      <w:r>
        <w:t xml:space="preserve"> </w:t>
      </w:r>
      <m:oMath>
        <m:r>
          <m:rPr>
            <m:sty m:val="p"/>
          </m:rPr>
          <m:t>&gt;</m:t>
        </m:r>
      </m:oMath>
      <w:r>
        <w:t xml:space="preserve">0) — representing less than 0.4% of operating plants and an even smaller fraction of national production capacity. This deployment rate stands in stark contrast to the sector’s decarbonization requirements: since process calcination emissions cannot be abated by any means other than CCS or clinker substitution, cement is the industrial sector where CCS has the clearest irreplaceable role.</w:t>
      </w:r>
    </w:p>
    <w:p>
      <w:pPr>
        <w:pStyle w:val="BodyText"/>
      </w:pPr>
      <w:r>
        <w:t xml:space="preserve">The CBAM cost floor defined in Section 4.4 provides a partial economic signal for CCS investment. At EU ETS = EUR 65 and zero domestic carbon pricing, a cement producer exporting to the EU faces EUR 40.8/t CBAM liability. If CCS captures 90% of process emissions, reducing the effective emission factor from 0.627 to 0.063 tCO</w:t>
      </w:r>
      <w:r>
        <w:rPr>
          <w:vertAlign w:val="subscript"/>
        </w:rPr>
        <w:t xml:space="preserve">2</w:t>
      </w:r>
      <w:r>
        <w:t xml:space="preserve">/t, CBAM liability falls to EUR 4.1/t — a EUR 36.7/t savings. The breakeven CCS cost is thus approximately EUR 40.7/tCO</w:t>
      </w:r>
      <w:r>
        <w:rPr>
          <w:vertAlign w:val="subscript"/>
        </w:rPr>
        <w:t xml:space="preserve">2</w:t>
      </w:r>
      <w:r>
        <w:t xml:space="preserve"> </w:t>
      </w:r>
      <w:r>
        <w:t xml:space="preserve">captured at current EU ETS prices (EUR 36.7 savings per tonne cement</w:t>
      </w:r>
      <w:r>
        <w:t xml:space="preserve"> </w:t>
      </w:r>
      <m:oMath>
        <m:r>
          <m:rPr>
            <m:sty m:val="p"/>
          </m:rPr>
          <m:t>÷</m:t>
        </m:r>
      </m:oMath>
      <w:r>
        <w:t xml:space="preserve"> </w:t>
      </w:r>
      <w:r>
        <w:t xml:space="preserve">0.90</w:t>
      </w:r>
      <w:r>
        <w:t xml:space="preserve"> </w:t>
      </w:r>
      <m:oMath>
        <m:r>
          <m:rPr>
            <m:sty m:val="p"/>
          </m:rPr>
          <m:t>×</m:t>
        </m:r>
      </m:oMath>
      <w:r>
        <w:t xml:space="preserve"> </w:t>
      </w:r>
      <w:r>
        <w:t xml:space="preserve">0.627 t captured/t cement = EUR 65/tCO</w:t>
      </w:r>
      <w:r>
        <w:rPr>
          <w:vertAlign w:val="subscript"/>
        </w:rPr>
        <w:t xml:space="preserve">2</w:t>
      </w:r>
      <w:r>
        <w:t xml:space="preserve"> </w:t>
      </w:r>
      <w:r>
        <w:t xml:space="preserve">captured). At EU ETS = EUR 80, the breakeven rises to approximately EUR 80/tCO</w:t>
      </w:r>
      <w:r>
        <w:rPr>
          <w:vertAlign w:val="subscript"/>
        </w:rPr>
        <w:t xml:space="preserve">2</w:t>
      </w:r>
      <w:r>
        <w:t xml:space="preserve"> </w:t>
      </w:r>
      <w:r>
        <w:t xml:space="preserve">captured, which is at the lower end of current early-stage cement CCS cost estimates.</w:t>
      </w:r>
    </w:p>
    <w:p>
      <w:pPr>
        <w:pStyle w:val="BodyText"/>
      </w:pPr>
      <w:r>
        <w:rPr>
          <w:b/>
          <w:bCs/>
        </w:rPr>
        <w:t xml:space="preserve">Clinker substitution limits.</w:t>
      </w:r>
      <w:r>
        <w:t xml:space="preserve"> </w:t>
      </w:r>
      <w:r>
        <w:t xml:space="preserve">Clinker ratio reduction via SCMs is constrained by both technical and supply factors. The technical floor for clinker content in ordinary Portland cement is approximately 0.65–0.70 under standard specifications; below this threshold, blended cements fail strength and durability requirements for most structural applications. On the supply side, China’s primary SCMs — fly ash from coal power generation and slag from blast furnace ironmaking — are themselves byproducts of sectors undergoing structural decline: coal power capacity is being curtailed and BF-BOF steelmaking faces transition pressure, meaning the SCM supply base available to cement producers will shrink over the medium term. This supply-side constraint limits the extent to which clinker ratio reduction can serve as a standalone decarbonization pathway, reinforcing the long-run indispensability of CCS for deep decarbonization of the cement sector.</w:t>
      </w:r>
    </w:p>
    <w:bookmarkEnd w:id="28"/>
    <w:bookmarkStart w:id="29" w:name="sec:china-constraints"/>
    <w:p>
      <w:pPr>
        <w:pStyle w:val="Heading2"/>
      </w:pPr>
      <w:r>
        <w:rPr>
          <w:rStyle w:val="SectionNumber"/>
        </w:rPr>
        <w:t xml:space="preserve">4.7</w:t>
      </w:r>
      <w:r>
        <w:tab/>
      </w:r>
      <w:r>
        <w:t xml:space="preserve">Institutional and Political Economy Constraints</w:t>
      </w:r>
    </w:p>
    <w:p>
      <w:pPr>
        <w:pStyle w:val="FirstParagraph"/>
      </w:pPr>
      <w:r>
        <w:t xml:space="preserve">Three structural constraints govern the pace and scope of CN-ETS reform and industrial decarbonization in China.</w:t>
      </w:r>
    </w:p>
    <w:p>
      <w:pPr>
        <w:pStyle w:val="BodyText"/>
      </w:pPr>
      <w:r>
        <w:t xml:space="preserve">SOE dominance in steel, cement, and aluminum generates institutional resistance to carbon pricing reform. State-owned enterprises in these sectors internalize compliance costs but do not fully capture the export competitiveness benefits of decarbonization, which are distributed across the sector. This creates an asymmetric incentive structure in which SOEs have consistent political incentives to lobby for slower reform, more generous free allocation, and longer phase-in timelines</w:t>
      </w:r>
      <w:r>
        <w:t xml:space="preserve"> </w:t>
      </w:r>
      <w:r>
        <w:t xml:space="preserve">.</w:t>
      </w:r>
    </w:p>
    <w:p>
      <w:pPr>
        <w:pStyle w:val="BodyText"/>
      </w:pPr>
      <w:r>
        <w:t xml:space="preserve">Energy security imperatives constrain the pace of transition away from coal-based steelmaking. Blast furnace operations are tightly integrated with domestic coking coal supply chains and concentrated in provinces — Hebei, Shanxi, Liaoning — where industrial employment is structurally dependent on BF-BOF production. Transition to EAF requires both expanded scrap steel supply and grid decarbonization, both of which involve infrastructure and policy timelines extending well beyond the 2024–2027 window under analysis.</w:t>
      </w:r>
    </w:p>
    <w:p>
      <w:pPr>
        <w:pStyle w:val="BodyText"/>
      </w:pPr>
      <w:r>
        <w:t xml:space="preserve">Regional heterogeneity in carbon intensity complicates uniform carbon pricing. A nationally uniform CN-ETS price imposes disproportionate compliance costs on provinces with older and more carbon-intensive industrial infrastructure, generating distributional tensions that constrain the political feasibility of stringent absolute caps.</w:t>
      </w:r>
    </w:p>
    <w:p>
      <w:pPr>
        <w:pStyle w:val="BodyText"/>
      </w:pPr>
      <w:r>
        <w:t xml:space="preserve">Applied to two-level game framework, these constraints define China’s domestic win-set: the range of CN-ETS reform outcomes politically achievable given the configuration of domestic interest group pressures. CBAM expands this win-set incrementally by imposing fiscal costs on the status quo — low CN-ETS prices and intensity-based caps — but does not override domestic constraints. It should be noted that Putnam’s framework was developed primarily in the context of democratic states, where domestic ratification constraints are formalised through legislative processes. China’s win-set is not bounded in the same way; SOE and industrial interests exercise influence through party channels and advisory bodies rather than legislative veto. The framework nonetheless remains analytically useful as a metaphor for the range of outcomes that are politically feasible within China’s internal power structure, provided this limitation is acknowledged. The resulting reform trajectory reflects the intersection of externally induced fiscal pressure and internally structured political resistance within an authoritarian governance context, and is therefore likely to be gradual, sectoral, and subject to implementation delays relative to MEE’s announced targets.</w:t>
      </w:r>
    </w:p>
    <w:bookmarkEnd w:id="29"/>
    <w:bookmarkEnd w:id="30"/>
    <w:bookmarkStart w:id="34" w:name="sec:discussion"/>
    <w:p>
      <w:pPr>
        <w:pStyle w:val="Heading1"/>
      </w:pPr>
      <w:r>
        <w:rPr>
          <w:rStyle w:val="SectionNumber"/>
        </w:rPr>
        <w:t xml:space="preserve">5</w:t>
      </w:r>
      <w:r>
        <w:tab/>
      </w:r>
      <w:r>
        <w:t xml:space="preserve">Discussion</w:t>
      </w:r>
    </w:p>
    <w:bookmarkStart w:id="31" w:name="sec:disc-enterprise"/>
    <w:p>
      <w:pPr>
        <w:pStyle w:val="Heading2"/>
      </w:pPr>
      <w:r>
        <w:rPr>
          <w:rStyle w:val="SectionNumber"/>
        </w:rPr>
        <w:t xml:space="preserve">5.1</w:t>
      </w:r>
      <w:r>
        <w:tab/>
      </w:r>
      <w:r>
        <w:t xml:space="preserve">Enterprise-Level Strategies for Reducing CBAM Exposure</w:t>
      </w:r>
    </w:p>
    <w:p>
      <w:pPr>
        <w:pStyle w:val="FirstParagraph"/>
      </w:pPr>
      <w:r>
        <w:rPr>
          <w:i/>
          <w:iCs/>
        </w:rPr>
        <w:t xml:space="preserve">[To be written.]</w:t>
      </w:r>
    </w:p>
    <w:bookmarkEnd w:id="31"/>
    <w:bookmarkStart w:id="32" w:name="sec:disc-reform"/>
    <w:p>
      <w:pPr>
        <w:pStyle w:val="Heading2"/>
      </w:pPr>
      <w:r>
        <w:rPr>
          <w:rStyle w:val="SectionNumber"/>
        </w:rPr>
        <w:t xml:space="preserve">5.2</w:t>
      </w:r>
      <w:r>
        <w:tab/>
      </w:r>
      <w:r>
        <w:t xml:space="preserve">Carbon Market Reform: Closing the Price Gap to Retain Revenue</w:t>
      </w:r>
    </w:p>
    <w:p>
      <w:pPr>
        <w:pStyle w:val="FirstParagraph"/>
      </w:pPr>
      <w:r>
        <w:rPr>
          <w:i/>
          <w:iCs/>
        </w:rPr>
        <w:t xml:space="preserve">[To be written.]</w:t>
      </w:r>
    </w:p>
    <w:bookmarkEnd w:id="32"/>
    <w:bookmarkStart w:id="33" w:name="sec:disc-coop"/>
    <w:p>
      <w:pPr>
        <w:pStyle w:val="Heading2"/>
      </w:pPr>
      <w:r>
        <w:rPr>
          <w:rStyle w:val="SectionNumber"/>
        </w:rPr>
        <w:t xml:space="preserve">5.3</w:t>
      </w:r>
      <w:r>
        <w:tab/>
      </w:r>
      <w:r>
        <w:t xml:space="preserve">EU–China Cooperation: From Coercive Pressure to Market Alignment</w:t>
      </w:r>
    </w:p>
    <w:p>
      <w:pPr>
        <w:pStyle w:val="FirstParagraph"/>
      </w:pPr>
      <w:r>
        <w:rPr>
          <w:i/>
          <w:iCs/>
        </w:rPr>
        <w:t xml:space="preserve">[To be written.]</w:t>
      </w:r>
    </w:p>
    <w:bookmarkEnd w:id="33"/>
    <w:bookmarkEnd w:id="34"/>
    <w:bookmarkStart w:id="42" w:name="sec:conclusion"/>
    <w:p>
      <w:pPr>
        <w:pStyle w:val="Heading1"/>
      </w:pPr>
      <w:r>
        <w:rPr>
          <w:rStyle w:val="SectionNumber"/>
        </w:rPr>
        <w:t xml:space="preserve">6</w:t>
      </w:r>
      <w:r>
        <w:tab/>
      </w:r>
      <w:r>
        <w:t xml:space="preserve">Conclusion</w:t>
      </w:r>
    </w:p>
    <w:p>
      <w:pPr>
        <w:pStyle w:val="FirstParagraph"/>
      </w:pPr>
      <w:r>
        <w:rPr>
          <w:i/>
          <w:iCs/>
        </w:rPr>
        <w:t xml:space="preserve">[To be written.]</w:t>
      </w:r>
    </w:p>
    <w:p>
      <w:pPr>
        <w:pStyle w:val="BodyText"/>
      </w:pPr>
      <w:r>
        <w:t xml:space="preserve">9</w:t>
      </w:r>
    </w:p>
    <w:p>
      <w:pPr>
        <w:pStyle w:val="BodyText"/>
      </w:pPr>
      <w:r>
        <w:t xml:space="preserve">Aklin, M. and Mildenberger, M. (2020). Prisoners of the Wrong Dilemma.</w:t>
      </w:r>
      <w:r>
        <w:t xml:space="preserve"> </w:t>
      </w:r>
      <w:r>
        <w:rPr>
          <w:i/>
          <w:iCs/>
        </w:rPr>
        <w:t xml:space="preserve">Global Environmental Politics</w:t>
      </w:r>
      <w:r>
        <w:t xml:space="preserve">, 20(4), 4–27.</w:t>
      </w:r>
    </w:p>
    <w:p>
      <w:pPr>
        <w:pStyle w:val="BodyText"/>
      </w:pPr>
      <w:r>
        <w:t xml:space="preserve">Axelrod, R. S. and VanDeveer, S. (2020).</w:t>
      </w:r>
      <w:r>
        <w:t xml:space="preserve"> </w:t>
      </w:r>
      <w:r>
        <w:rPr>
          <w:i/>
          <w:iCs/>
        </w:rPr>
        <w:t xml:space="preserve">The Global Environment</w:t>
      </w:r>
      <w:r>
        <w:t xml:space="preserve"> </w:t>
      </w:r>
      <w:r>
        <w:t xml:space="preserve">(5th ed.). CQ Press.</w:t>
      </w:r>
    </w:p>
    <w:p>
      <w:pPr>
        <w:pStyle w:val="BodyText"/>
      </w:pPr>
      <w:r>
        <w:t xml:space="preserve">Carson, R. T. (2009). The Environmental Kuznets Curve.</w:t>
      </w:r>
      <w:r>
        <w:t xml:space="preserve"> </w:t>
      </w:r>
      <w:r>
        <w:rPr>
          <w:i/>
          <w:iCs/>
        </w:rPr>
        <w:t xml:space="preserve">Review of Environmental Economics and Policy</w:t>
      </w:r>
      <w:r>
        <w:t xml:space="preserve">: rep021.</w:t>
      </w:r>
    </w:p>
    <w:p>
      <w:pPr>
        <w:pStyle w:val="BodyText"/>
      </w:pPr>
      <w:r>
        <w:t xml:space="preserve">Magacho, G., Espagne, E., and Godin, A. (2024). Impacts of the CBAM on EU Trade Partners.</w:t>
      </w:r>
      <w:r>
        <w:t xml:space="preserve"> </w:t>
      </w:r>
      <w:r>
        <w:rPr>
          <w:i/>
          <w:iCs/>
        </w:rPr>
        <w:t xml:space="preserve">Climate Policy</w:t>
      </w:r>
      <w:r>
        <w:t xml:space="preserve">, 24(2), 243–259.</w:t>
      </w:r>
    </w:p>
    <w:p>
      <w:pPr>
        <w:pStyle w:val="BodyText"/>
      </w:pPr>
      <w:r>
        <w:t xml:space="preserve">Ministry of Ecology and Environment of China (MEE) (2021).</w:t>
      </w:r>
      <w:r>
        <w:t xml:space="preserve"> </w:t>
      </w:r>
      <w:r>
        <w:rPr>
          <w:i/>
          <w:iCs/>
        </w:rPr>
        <w:t xml:space="preserve">Measures for the Administration of Carbon Emissions Trading (for Trial Implementation)</w:t>
      </w:r>
      <w:r>
        <w:t xml:space="preserve">. Beijing.</w:t>
      </w:r>
    </w:p>
    <w:p>
      <w:pPr>
        <w:pStyle w:val="BodyText"/>
      </w:pPr>
      <w:r>
        <w:t xml:space="preserve">Nahm, J. and Urpelainen, J. (2021). The Enemy Within.</w:t>
      </w:r>
      <w:r>
        <w:t xml:space="preserve"> </w:t>
      </w:r>
      <w:r>
        <w:rPr>
          <w:i/>
          <w:iCs/>
        </w:rPr>
        <w:t xml:space="preserve">Global Environmental Politics</w:t>
      </w:r>
      <w:r>
        <w:t xml:space="preserve">, 21(4), 88–109.</w:t>
      </w:r>
    </w:p>
    <w:p>
      <w:pPr>
        <w:pStyle w:val="BodyText"/>
      </w:pPr>
      <w:r>
        <w:t xml:space="preserve">Nordhaus, W. (2015). Climate Clubs.</w:t>
      </w:r>
      <w:r>
        <w:t xml:space="preserve"> </w:t>
      </w:r>
      <w:r>
        <w:rPr>
          <w:i/>
          <w:iCs/>
        </w:rPr>
        <w:t xml:space="preserve">American Economic Review</w:t>
      </w:r>
      <w:r>
        <w:t xml:space="preserve">, 105(4), 1339–1370.</w:t>
      </w:r>
    </w:p>
    <w:p>
      <w:pPr>
        <w:pStyle w:val="BodyText"/>
      </w:pPr>
      <w:r>
        <w:t xml:space="preserve">Putnam, R. D. (1988). Diplomacy and Domestic Politics.</w:t>
      </w:r>
      <w:r>
        <w:t xml:space="preserve"> </w:t>
      </w:r>
      <w:r>
        <w:rPr>
          <w:i/>
          <w:iCs/>
        </w:rPr>
        <w:t xml:space="preserve">International Organization</w:t>
      </w:r>
      <w:r>
        <w:t xml:space="preserve">, 42(3), 427–460.</w:t>
      </w:r>
    </w:p>
    <w:p>
      <w:pPr>
        <w:pStyle w:val="BodyText"/>
      </w:pPr>
      <w:r>
        <w:t xml:space="preserve">Wang, L. et al. (2025). CBAM Impact on China’s Export.</w:t>
      </w:r>
      <w:r>
        <w:t xml:space="preserve"> </w:t>
      </w:r>
      <w:r>
        <w:rPr>
          <w:i/>
          <w:iCs/>
        </w:rPr>
        <w:t xml:space="preserve">Carbon Neutrality and Sustainability</w:t>
      </w:r>
      <w:r>
        <w:t xml:space="preserve">, forthcoming.</w:t>
      </w:r>
    </w:p>
    <w:p>
      <w:pPr>
        <w:pStyle w:val="BodyText"/>
      </w:pPr>
      <w:r>
        <w:t xml:space="preserve">Chen, Q. et al. (2023). Technological Solutions to China’s Carbon Neutrality in the Steel and Cement Sectors.</w:t>
      </w:r>
      <w:r>
        <w:t xml:space="preserve"> </w:t>
      </w:r>
      <w:r>
        <w:rPr>
          <w:i/>
          <w:iCs/>
        </w:rPr>
        <w:t xml:space="preserve">Earth’s Future</w:t>
      </w:r>
      <w:r>
        <w:t xml:space="preserve">, 11, e2022EF003255.</w:t>
      </w:r>
      <w:r>
        <w:t xml:space="preserve"> </w:t>
      </w:r>
      <w:hyperlink r:id="rId35">
        <w:r>
          <w:rPr>
            <w:rStyle w:val="Hyperlink"/>
          </w:rPr>
          <w:t xml:space="preserve">https://doi.org/10.1029/2022EF003255</w:t>
        </w:r>
      </w:hyperlink>
      <w:r>
        <w:t xml:space="preserve">.</w:t>
      </w:r>
    </w:p>
    <w:p>
      <w:pPr>
        <w:pStyle w:val="BodyText"/>
      </w:pPr>
      <w:r>
        <w:t xml:space="preserve">Mehling, M., van Asselt, H., Das, K., Dröge, S., and Verkuijl, C. (2019). Designing Border Carbon Adjustments for Enhanced Climate Action.</w:t>
      </w:r>
      <w:r>
        <w:t xml:space="preserve"> </w:t>
      </w:r>
      <w:r>
        <w:rPr>
          <w:i/>
          <w:iCs/>
        </w:rPr>
        <w:t xml:space="preserve">American Journal of International Law</w:t>
      </w:r>
      <w:r>
        <w:t xml:space="preserve">, 113(3), 433–481.</w:t>
      </w:r>
    </w:p>
    <w:p>
      <w:pPr>
        <w:pStyle w:val="BodyText"/>
      </w:pPr>
      <w:r>
        <w:t xml:space="preserve">Haites, E. et al. (2018). Carbon taxes and greenhouse gas emissions trading systems: what have we learned?</w:t>
      </w:r>
      <w:r>
        <w:t xml:space="preserve"> </w:t>
      </w:r>
      <w:r>
        <w:rPr>
          <w:i/>
          <w:iCs/>
        </w:rPr>
        <w:t xml:space="preserve">Climate Policy</w:t>
      </w:r>
      <w:r>
        <w:t xml:space="preserve">, 18(8), 955–966.</w:t>
      </w:r>
      <w:r>
        <w:t xml:space="preserve"> </w:t>
      </w:r>
      <w:hyperlink r:id="rId36">
        <w:r>
          <w:rPr>
            <w:rStyle w:val="Hyperlink"/>
          </w:rPr>
          <w:t xml:space="preserve">https://doi.org/10.1080/14693062.2018.1492897</w:t>
        </w:r>
      </w:hyperlink>
      <w:r>
        <w:t xml:space="preserve">.</w:t>
      </w:r>
    </w:p>
    <w:p>
      <w:pPr>
        <w:pStyle w:val="BodyText"/>
      </w:pPr>
      <w:r>
        <w:t xml:space="preserve">Burtraw, D. et al. (2022). The effectiveness of China’s regional carbon market pilots in reducing firm emissions.</w:t>
      </w:r>
      <w:r>
        <w:t xml:space="preserve"> </w:t>
      </w:r>
      <w:r>
        <w:rPr>
          <w:i/>
          <w:iCs/>
        </w:rPr>
        <w:t xml:space="preserve">Proceedings of the National Academy of Sciences</w:t>
      </w:r>
      <w:r>
        <w:t xml:space="preserve">, 119(4), e2109912118.</w:t>
      </w:r>
      <w:r>
        <w:t xml:space="preserve"> </w:t>
      </w:r>
      <w:hyperlink r:id="rId37">
        <w:r>
          <w:rPr>
            <w:rStyle w:val="Hyperlink"/>
          </w:rPr>
          <w:t xml:space="preserve">https://doi.org/10.1073/pnas.2109912118</w:t>
        </w:r>
      </w:hyperlink>
      <w:r>
        <w:t xml:space="preserve">.</w:t>
      </w:r>
    </w:p>
    <w:p>
      <w:pPr>
        <w:pStyle w:val="BodyText"/>
      </w:pPr>
      <w:r>
        <w:t xml:space="preserve">Ren, Y. et al. (2025). Provincial export cost implications of the EU Carbon Border Adjustment Mechanism on China’s metal industry.</w:t>
      </w:r>
      <w:r>
        <w:t xml:space="preserve"> </w:t>
      </w:r>
      <w:r>
        <w:rPr>
          <w:i/>
          <w:iCs/>
        </w:rPr>
        <w:t xml:space="preserve">iScience</w:t>
      </w:r>
      <w:r>
        <w:t xml:space="preserve">, 28, 112485.</w:t>
      </w:r>
      <w:r>
        <w:t xml:space="preserve"> </w:t>
      </w:r>
      <w:hyperlink r:id="rId38">
        <w:r>
          <w:rPr>
            <w:rStyle w:val="Hyperlink"/>
          </w:rPr>
          <w:t xml:space="preserve">https://doi.org/10.1016/j.isci.2025.112485</w:t>
        </w:r>
      </w:hyperlink>
      <w:r>
        <w:t xml:space="preserve">.</w:t>
      </w:r>
    </w:p>
    <w:p>
      <w:pPr>
        <w:pStyle w:val="BodyText"/>
      </w:pPr>
      <w:r>
        <w:t xml:space="preserve">Zhong, Y. et al. (2024). Decarbonization pathways promote improvements in cement quality and reduce the environmental impact of China’s cement industry.</w:t>
      </w:r>
      <w:r>
        <w:t xml:space="preserve"> </w:t>
      </w:r>
      <w:r>
        <w:rPr>
          <w:i/>
          <w:iCs/>
        </w:rPr>
        <w:t xml:space="preserve">Communications Earth &amp; Environment</w:t>
      </w:r>
      <w:r>
        <w:t xml:space="preserve">, 5, 712.</w:t>
      </w:r>
      <w:r>
        <w:t xml:space="preserve"> </w:t>
      </w:r>
      <w:hyperlink r:id="rId39">
        <w:r>
          <w:rPr>
            <w:rStyle w:val="Hyperlink"/>
          </w:rPr>
          <w:t xml:space="preserve">https://doi.org/10.1038/s43247-024-01929-z</w:t>
        </w:r>
      </w:hyperlink>
      <w:r>
        <w:t xml:space="preserve">.</w:t>
      </w:r>
    </w:p>
    <w:p>
      <w:pPr>
        <w:pStyle w:val="BodyText"/>
      </w:pPr>
      <w:r>
        <w:t xml:space="preserve">Eurostat (2025). EU imports of iron and steel from China (HS Chapter 72), 2023–2024. Luxembourg: European Commission.</w:t>
      </w:r>
      <w:r>
        <w:t xml:space="preserve"> </w:t>
      </w:r>
      <w:hyperlink r:id="rId40">
        <w:r>
          <w:rPr>
            <w:rStyle w:val="Hyperlink"/>
          </w:rPr>
          <w:t xml:space="preserve">https://ec.europa.eu/eurostat</w:t>
        </w:r>
      </w:hyperlink>
      <w:r>
        <w:t xml:space="preserve">.</w:t>
      </w:r>
    </w:p>
    <w:p>
      <w:pPr>
        <w:pStyle w:val="BodyText"/>
      </w:pPr>
      <w:r>
        <w:t xml:space="preserve">World Steel Association (2024).</w:t>
      </w:r>
      <w:r>
        <w:t xml:space="preserve"> </w:t>
      </w:r>
      <w:r>
        <w:rPr>
          <w:i/>
          <w:iCs/>
        </w:rPr>
        <w:t xml:space="preserve">World Steel in Figures 2024</w:t>
      </w:r>
      <w:r>
        <w:t xml:space="preserve">. Brussels: WSA.</w:t>
      </w:r>
    </w:p>
    <w:p>
      <w:pPr>
        <w:pStyle w:val="BodyText"/>
      </w:pPr>
      <w:r>
        <w:t xml:space="preserve">International Energy Agency (2023).</w:t>
      </w:r>
      <w:r>
        <w:t xml:space="preserve"> </w:t>
      </w:r>
      <w:r>
        <w:rPr>
          <w:i/>
          <w:iCs/>
        </w:rPr>
        <w:t xml:space="preserve">Energy Technology Perspectives 2023</w:t>
      </w:r>
      <w:r>
        <w:t xml:space="preserve">. Paris: IEA.</w:t>
      </w:r>
    </w:p>
    <w:p>
      <w:pPr>
        <w:pStyle w:val="BodyText"/>
      </w:pPr>
      <w:r>
        <w:t xml:space="preserve">Ministry of Ecology and Environment of China (MEE) (2023).</w:t>
      </w:r>
      <w:r>
        <w:t xml:space="preserve"> </w:t>
      </w:r>
      <w:r>
        <w:rPr>
          <w:i/>
          <w:iCs/>
        </w:rPr>
        <w:t xml:space="preserve">Technical Guidelines for the Verification of Carbon Emissions in the Power Generation Industry</w:t>
      </w:r>
      <w:r>
        <w:t xml:space="preserve">. Beijing. [Grid emission factor: 0.5810 kgCO</w:t>
      </w:r>
      <w:r>
        <w:rPr>
          <w:vertAlign w:val="subscript"/>
        </w:rPr>
        <w:t xml:space="preserve">2</w:t>
      </w:r>
      <w:r>
        <w:t xml:space="preserve">/kWh.]</w:t>
      </w:r>
    </w:p>
    <w:p>
      <w:pPr>
        <w:pStyle w:val="BodyText"/>
      </w:pPr>
      <w:r>
        <w:t xml:space="preserve">Global Energy Monitor (2026).</w:t>
      </w:r>
      <w:r>
        <w:t xml:space="preserve"> </w:t>
      </w:r>
      <w:r>
        <w:rPr>
          <w:i/>
          <w:iCs/>
        </w:rPr>
        <w:t xml:space="preserve">Global Iron and Steel Tracker, March 2026 Release</w:t>
      </w:r>
      <w:r>
        <w:t xml:space="preserve">. San Francisco: GEM. Available at:</w:t>
      </w:r>
      <w:r>
        <w:t xml:space="preserve"> </w:t>
      </w:r>
      <w:hyperlink r:id="rId41">
        <w:r>
          <w:rPr>
            <w:rStyle w:val="Hyperlink"/>
          </w:rPr>
          <w:t xml:space="preserve">https://globalenergymonitor.org</w:t>
        </w:r>
      </w:hyperlink>
      <w:r>
        <w:t xml:space="preserve">.</w:t>
      </w:r>
    </w:p>
    <w:p>
      <w:pPr>
        <w:pStyle w:val="BodyText"/>
      </w:pPr>
      <w:r>
        <w:t xml:space="preserve">Global Energy Monitor (2025).</w:t>
      </w:r>
      <w:r>
        <w:t xml:space="preserve"> </w:t>
      </w:r>
      <w:r>
        <w:rPr>
          <w:i/>
          <w:iCs/>
        </w:rPr>
        <w:t xml:space="preserve">Global Cement and Concrete Tracker, July 2025 Release</w:t>
      </w:r>
      <w:r>
        <w:t xml:space="preserve">. San Francisco: GEM. Available at:</w:t>
      </w:r>
      <w:r>
        <w:t xml:space="preserve"> </w:t>
      </w:r>
      <w:hyperlink r:id="rId41">
        <w:r>
          <w:rPr>
            <w:rStyle w:val="Hyperlink"/>
          </w:rPr>
          <w:t xml:space="preserve">https://globalenergymonitor.org</w:t>
        </w:r>
      </w:hyperlink>
      <w:r>
        <w:t xml:space="preserve">.</w:t>
      </w:r>
    </w:p>
    <w:p>
      <w:pPr>
        <w:pStyle w:val="BodyText"/>
      </w:pPr>
      <w:r>
        <w:t xml:space="preserve">Global Cement and Concrete Association (2024).</w:t>
      </w:r>
      <w:r>
        <w:t xml:space="preserve"> </w:t>
      </w:r>
      <w:r>
        <w:rPr>
          <w:i/>
          <w:iCs/>
        </w:rPr>
        <w:t xml:space="preserve">Cement and Concrete around the World</w:t>
      </w:r>
      <w:r>
        <w:t xml:space="preserve">. London: GCCA.</w:t>
      </w:r>
    </w:p>
    <w:p>
      <w:pPr>
        <w:pStyle w:val="BodyText"/>
      </w:pPr>
      <w:r>
        <w:t xml:space="preserve">Intergovernmental Panel on Climate Change (2006).</w:t>
      </w:r>
      <w:r>
        <w:t xml:space="preserve"> </w:t>
      </w:r>
      <w:r>
        <w:rPr>
          <w:i/>
          <w:iCs/>
        </w:rPr>
        <w:t xml:space="preserve">2006 IPCC Guidelines for National Greenhouse Gas Inventories, Volume 3: Industrial Processes and Product Use</w:t>
      </w:r>
      <w:r>
        <w:t xml:space="preserve">. Hayama: IGES.</w:t>
      </w:r>
    </w:p>
    <w:p>
      <w:pPr>
        <w:pStyle w:val="BodyText"/>
      </w:pPr>
      <w:r>
        <w:t xml:space="preserve">Zhao, X. and Qi, Y. (2022). Three Decades of Climate Policymaking in China.</w:t>
      </w:r>
      <w:r>
        <w:t xml:space="preserve"> </w:t>
      </w:r>
      <w:r>
        <w:rPr>
          <w:i/>
          <w:iCs/>
        </w:rPr>
        <w:t xml:space="preserve">Sustainability</w:t>
      </w:r>
      <w:r>
        <w:t xml:space="preserve">, 14(4), 2202.</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doi.org/10.1016/j.isci.2025.112485" TargetMode="External" /><Relationship Type="http://schemas.openxmlformats.org/officeDocument/2006/relationships/hyperlink" Id="rId35" Target="https://doi.org/10.1029/2022EF003255" TargetMode="External" /><Relationship Type="http://schemas.openxmlformats.org/officeDocument/2006/relationships/hyperlink" Id="rId39" Target="https://doi.org/10.1038/s43247-024-01929-z" TargetMode="External" /><Relationship Type="http://schemas.openxmlformats.org/officeDocument/2006/relationships/hyperlink" Id="rId37" Target="https://doi.org/10.1073/pnas.2109912118" TargetMode="External" /><Relationship Type="http://schemas.openxmlformats.org/officeDocument/2006/relationships/hyperlink" Id="rId36" Target="https://doi.org/10.1080/14693062.2018.1492897" TargetMode="External" /><Relationship Type="http://schemas.openxmlformats.org/officeDocument/2006/relationships/hyperlink" Id="rId40" Target="https://ec.europa.eu/eurostat" TargetMode="External" /><Relationship Type="http://schemas.openxmlformats.org/officeDocument/2006/relationships/hyperlink" Id="rId41" Target="https://globalenergymonitor.org" TargetMode="External" /></Relationships>
</file>

<file path=word/_rels/footnotes.xml.rels><?xml version="1.0" encoding="UTF-8"?><Relationships xmlns="http://schemas.openxmlformats.org/package/2006/relationships"><Relationship Type="http://schemas.openxmlformats.org/officeDocument/2006/relationships/hyperlink" Id="rId38" Target="https://doi.org/10.1016/j.isci.2025.112485" TargetMode="External" /><Relationship Type="http://schemas.openxmlformats.org/officeDocument/2006/relationships/hyperlink" Id="rId35" Target="https://doi.org/10.1029/2022EF003255" TargetMode="External" /><Relationship Type="http://schemas.openxmlformats.org/officeDocument/2006/relationships/hyperlink" Id="rId39" Target="https://doi.org/10.1038/s43247-024-01929-z" TargetMode="External" /><Relationship Type="http://schemas.openxmlformats.org/officeDocument/2006/relationships/hyperlink" Id="rId37" Target="https://doi.org/10.1073/pnas.2109912118" TargetMode="External" /><Relationship Type="http://schemas.openxmlformats.org/officeDocument/2006/relationships/hyperlink" Id="rId36" Target="https://doi.org/10.1080/14693062.2018.1492897" TargetMode="External" /><Relationship Type="http://schemas.openxmlformats.org/officeDocument/2006/relationships/hyperlink" Id="rId40" Target="https://ec.europa.eu/eurostat" TargetMode="External" /><Relationship Type="http://schemas.openxmlformats.org/officeDocument/2006/relationships/hyperlink" Id="rId41" Target="https://globalenergymonito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EU Carbon Border Adjustment Mechanism and China’s Strategic Response: Carbon Pricing Realignment and Industrial Decarbonization</dc:title>
  <dc:creator>Tang Qian; Sirawit Tangchitwatthanakon; Liu Xianghui</dc:creator>
  <cp:keywords/>
  <dcterms:created xsi:type="dcterms:W3CDTF">2026-04-28T12:19:54Z</dcterms:created>
  <dcterms:modified xsi:type="dcterms:W3CDTF">2026-04-28T12:19:54Z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(\sim200 words — to be written)</vt:lpwstr>
  </property>
  <property fmtid="{D5CDD505-2E9C-101B-9397-08002B2CF9AE}" pid="3" name="date">
    <vt:lpwstr>IPEN 6100 / CNGF 5100: Global Environmental and Climate Policy HKUST(GZ), Spring 2026</vt:lpwstr>
  </property>
</Properties>
</file>