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EAE7A"/>
          <w:sz w:val="32"/>
        </w:rPr>
        <w:t>PS 11</w:t>
      </w:r>
    </w:p>
    <w:p>
      <w:pPr>
        <w:jc w:val="center"/>
      </w:pPr>
      <w:r>
        <w:rPr>
          <w:b/>
          <w:color w:val="17354F"/>
          <w:sz w:val="60"/>
        </w:rPr>
        <w:t>Community Water-Supply Allocation</w:t>
        <w:br/>
        <w:t>&amp; Complaint Intelligence</w:t>
      </w:r>
    </w:p>
    <w:p>
      <w:pPr>
        <w:jc w:val="center"/>
      </w:pPr>
      <w:r>
        <w:rPr>
          <w:color w:val="6F8296"/>
          <w:sz w:val="26"/>
        </w:rPr>
        <w:t>Deep Research, Evidence Base, Technical Architecture,</w:t>
        <w:br/>
        <w:t>Feasibility, Impact, Existing Systems &amp; Novelty Analysis</w:t>
      </w:r>
    </w:p>
    <w:p/>
    <w:tbl>
      <w:tblPr>
        <w:tblW w:type="auto" w:w="0"/>
        <w:jc w:val="center"/>
        <w:tblLook w:firstColumn="1" w:firstRow="1" w:lastColumn="0" w:lastRow="0" w:noHBand="0" w:noVBand="1" w:val="04A0"/>
      </w:tblPr>
      <w:tblGrid>
        <w:gridCol w:w="10166"/>
      </w:tblGrid>
      <w:tr>
        <w:tc>
          <w:tcPr>
            <w:tcW w:type="dxa" w:w="10166"/>
            <w:shd w:fill="EAF8F3"/>
          </w:tcPr>
          <w:p>
            <w:pPr>
              <w:spacing w:after="60"/>
            </w:pPr>
            <w:r>
              <w:rPr>
                <w:b/>
                <w:color w:val="1EAE7A"/>
                <w:sz w:val="18"/>
              </w:rPr>
              <w:t>CORE PRODUCT THESIS</w:t>
            </w:r>
          </w:p>
          <w:p>
            <w:pPr>
              <w:spacing w:after="0"/>
            </w:pPr>
            <w:r>
              <w:rPr>
                <w:color w:val="172B3A"/>
                <w:sz w:val="20"/>
              </w:rPr>
              <w:t>We are not building another tanker-booking application. We are building a transparent decision layer that answers: given limited water, where should it go next, why, and did that allocation improve fairness?</w:t>
            </w:r>
          </w:p>
        </w:tc>
      </w:tr>
    </w:tbl>
    <w:p>
      <w:pPr>
        <w:jc w:val="center"/>
      </w:pPr>
      <w:r>
        <w:rPr>
          <w:color w:val="6F8296"/>
          <w:sz w:val="20"/>
        </w:rPr>
        <w:t>Prepared for college hackathon / Technathon evaluation</w:t>
      </w:r>
    </w:p>
    <w:p>
      <w:r>
        <w:br w:type="page"/>
      </w:r>
    </w:p>
    <w:p>
      <w:pPr>
        <w:pStyle w:val="Heading1"/>
      </w:pPr>
      <w:r>
        <w:t>1. Executive Summary</w:t>
      </w:r>
    </w:p>
    <w:p>
      <w:r>
        <w:t>PS 11 should be interpreted as an allocation-and-governance problem rather than a simple citizen-service app. India faces a structural gap between water demand and reliable service: the World Bank notes that India has 18% of the world's population but only 4% of its water resources, while per-capita water availability has fallen by half since 1970. The same source notes that 600 million people face water stress and that a further 416 million people are expected to live in Indian cities by 2050. [1]</w:t>
      </w:r>
    </w:p>
    <w:p>
      <w:r>
        <w:t>The national urban service-level benchmark is 135 litres per capita per day, 24-hour continuity of supply, 100% connection coverage and 80% efficiency in complaint redressal. These are national benchmarks, not claims about current performance in every city. [2]</w:t>
      </w:r>
    </w:p>
    <w:p>
      <w:r>
        <w:t>At the operational level, Indian cities already have digital tanker and grievance systems. Hyderabad's HMWSSB application supports tanker booking, grievance registration, tanker status and complaint status; NDMC provides online tanker/trolley booking and application-status lookup. [3][4] The implication is important: novelty cannot credibly come from digitizing requests alone.</w:t>
      </w:r>
    </w:p>
    <w:p>
      <w:r>
        <w:t>The research-supported opportunity is an explainable allocation layer that combines need, vulnerability, unmet demand, previous service, population and geography. Published water-allocation research explicitly treats fairness and efficiency as competing objectives, while tanker-distribution research has already framed tanker scheduling as a constrained optimization problem. [5][6][7]</w:t>
      </w:r>
    </w:p>
    <w:tbl>
      <w:tblPr>
        <w:tblW w:type="auto" w:w="0"/>
        <w:jc w:val="center"/>
        <w:tblLook w:firstColumn="1" w:firstRow="1" w:lastColumn="0" w:lastRow="0" w:noHBand="0" w:noVBand="1" w:val="04A0"/>
      </w:tblPr>
      <w:tblGrid>
        <w:gridCol w:w="10166"/>
      </w:tblGrid>
      <w:tr>
        <w:tc>
          <w:tcPr>
            <w:tcW w:type="dxa" w:w="10166"/>
            <w:shd w:fill="EAF5FA"/>
          </w:tcPr>
          <w:p>
            <w:pPr>
              <w:spacing w:after="60"/>
            </w:pPr>
            <w:r>
              <w:rPr>
                <w:b/>
                <w:color w:val="168CB8"/>
                <w:sz w:val="18"/>
              </w:rPr>
              <w:t>RECOMMENDED POSITIONING</w:t>
            </w:r>
          </w:p>
          <w:p>
            <w:pPr>
              <w:spacing w:after="0"/>
            </w:pPr>
            <w:r>
              <w:rPr>
                <w:color w:val="172B3A"/>
                <w:sz w:val="20"/>
              </w:rPr>
              <w:t>Existing systems digitize water-service transactions. PS 11 can differentiate by making scarce-resource allocation explicit, need-aware, explainable, geographically visible and measurable.</w:t>
            </w:r>
          </w:p>
        </w:tc>
      </w:tr>
    </w:tbl>
    <w:p>
      <w:pPr>
        <w:pStyle w:val="Heading2"/>
      </w:pPr>
      <w:r>
        <w:t>1.1 Decision Snapshot</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7354F"/>
          </w:tcPr>
          <w:p>
            <w:pPr>
              <w:spacing w:after="0"/>
            </w:pPr>
            <w:r/>
            <w:r>
              <w:rPr>
                <w:rFonts w:ascii="Aptos" w:hAnsi="Aptos"/>
                <w:b/>
                <w:color w:val="FFFFFF"/>
                <w:sz w:val="18"/>
              </w:rPr>
              <w:t>Dimension</w:t>
            </w:r>
          </w:p>
        </w:tc>
        <w:tc>
          <w:tcPr>
            <w:tcW w:type="dxa" w:w="1728"/>
            <w:vAlign w:val="center"/>
            <w:shd w:fill="17354F"/>
          </w:tcPr>
          <w:p>
            <w:pPr>
              <w:spacing w:after="0"/>
            </w:pPr>
            <w:r/>
            <w:r>
              <w:rPr>
                <w:rFonts w:ascii="Aptos" w:hAnsi="Aptos"/>
                <w:b/>
                <w:color w:val="FFFFFF"/>
                <w:sz w:val="18"/>
              </w:rPr>
              <w:t>Assessment</w:t>
            </w:r>
          </w:p>
        </w:tc>
        <w:tc>
          <w:tcPr>
            <w:tcW w:type="dxa" w:w="6192"/>
            <w:vAlign w:val="center"/>
            <w:shd w:fill="17354F"/>
          </w:tcPr>
          <w:p>
            <w:pPr>
              <w:spacing w:after="0"/>
            </w:pPr>
            <w:r/>
            <w:r>
              <w:rPr>
                <w:rFonts w:ascii="Aptos" w:hAnsi="Aptos"/>
                <w:b/>
                <w:color w:val="FFFFFF"/>
                <w:sz w:val="18"/>
              </w:rPr>
              <w:t>Why it matters</w:t>
            </w:r>
          </w:p>
        </w:tc>
      </w:tr>
      <w:tr>
        <w:tc>
          <w:tcPr>
            <w:tcW w:type="dxa" w:w="2016"/>
            <w:vAlign w:val="center"/>
          </w:tcPr>
          <w:p>
            <w:pPr>
              <w:spacing w:after="0"/>
            </w:pPr>
            <w:r/>
            <w:r>
              <w:rPr>
                <w:rFonts w:ascii="Aptos" w:hAnsi="Aptos"/>
                <w:b w:val="0"/>
                <w:color w:val="172B3A"/>
                <w:sz w:val="17"/>
              </w:rPr>
              <w:t>Problem severity</w:t>
            </w:r>
          </w:p>
        </w:tc>
        <w:tc>
          <w:tcPr>
            <w:tcW w:type="dxa" w:w="1728"/>
            <w:vAlign w:val="center"/>
          </w:tcPr>
          <w:p>
            <w:pPr>
              <w:spacing w:after="0"/>
            </w:pPr>
            <w:r/>
            <w:r>
              <w:rPr>
                <w:rFonts w:ascii="Aptos" w:hAnsi="Aptos"/>
                <w:b w:val="0"/>
                <w:color w:val="172B3A"/>
                <w:sz w:val="17"/>
              </w:rPr>
              <w:t>Very high</w:t>
            </w:r>
          </w:p>
        </w:tc>
        <w:tc>
          <w:tcPr>
            <w:tcW w:type="dxa" w:w="6192"/>
            <w:vAlign w:val="center"/>
          </w:tcPr>
          <w:p>
            <w:pPr>
              <w:spacing w:after="0"/>
            </w:pPr>
            <w:r/>
            <w:r>
              <w:rPr>
                <w:rFonts w:ascii="Aptos" w:hAnsi="Aptos"/>
                <w:b w:val="0"/>
                <w:color w:val="172B3A"/>
                <w:sz w:val="17"/>
              </w:rPr>
              <w:t>Water scarcity, intermittent supply and unequal service create real resource-allocation pressure.</w:t>
            </w:r>
          </w:p>
        </w:tc>
      </w:tr>
      <w:tr>
        <w:tc>
          <w:tcPr>
            <w:tcW w:type="dxa" w:w="2016"/>
            <w:vAlign w:val="center"/>
          </w:tcPr>
          <w:p>
            <w:pPr>
              <w:spacing w:after="0"/>
            </w:pPr>
            <w:r/>
            <w:r>
              <w:rPr>
                <w:rFonts w:ascii="Aptos" w:hAnsi="Aptos"/>
                <w:b w:val="0"/>
                <w:color w:val="172B3A"/>
                <w:sz w:val="17"/>
              </w:rPr>
              <w:t>Technical feasibility</w:t>
            </w:r>
          </w:p>
        </w:tc>
        <w:tc>
          <w:tcPr>
            <w:tcW w:type="dxa" w:w="1728"/>
            <w:vAlign w:val="center"/>
          </w:tcPr>
          <w:p>
            <w:pPr>
              <w:spacing w:after="0"/>
            </w:pPr>
            <w:r/>
            <w:r>
              <w:rPr>
                <w:rFonts w:ascii="Aptos" w:hAnsi="Aptos"/>
                <w:b w:val="0"/>
                <w:color w:val="172B3A"/>
                <w:sz w:val="17"/>
              </w:rPr>
              <w:t>High</w:t>
            </w:r>
          </w:p>
        </w:tc>
        <w:tc>
          <w:tcPr>
            <w:tcW w:type="dxa" w:w="6192"/>
            <w:vAlign w:val="center"/>
          </w:tcPr>
          <w:p>
            <w:pPr>
              <w:spacing w:after="0"/>
            </w:pPr>
            <w:r/>
            <w:r>
              <w:rPr>
                <w:rFonts w:ascii="Aptos" w:hAnsi="Aptos"/>
                <w:b w:val="0"/>
                <w:color w:val="172B3A"/>
                <w:sz w:val="17"/>
              </w:rPr>
              <w:t>A prototype can use public/synthetic data plus standard web, GIS and optimization technologies.</w:t>
            </w:r>
          </w:p>
        </w:tc>
      </w:tr>
      <w:tr>
        <w:tc>
          <w:tcPr>
            <w:tcW w:type="dxa" w:w="2016"/>
            <w:vAlign w:val="center"/>
          </w:tcPr>
          <w:p>
            <w:pPr>
              <w:spacing w:after="0"/>
            </w:pPr>
            <w:r/>
            <w:r>
              <w:rPr>
                <w:rFonts w:ascii="Aptos" w:hAnsi="Aptos"/>
                <w:b w:val="0"/>
                <w:color w:val="172B3A"/>
                <w:sz w:val="17"/>
              </w:rPr>
              <w:t>Baseline novelty</w:t>
            </w:r>
          </w:p>
        </w:tc>
        <w:tc>
          <w:tcPr>
            <w:tcW w:type="dxa" w:w="1728"/>
            <w:vAlign w:val="center"/>
          </w:tcPr>
          <w:p>
            <w:pPr>
              <w:spacing w:after="0"/>
            </w:pPr>
            <w:r/>
            <w:r>
              <w:rPr>
                <w:rFonts w:ascii="Aptos" w:hAnsi="Aptos"/>
                <w:b w:val="0"/>
                <w:color w:val="172B3A"/>
                <w:sz w:val="17"/>
              </w:rPr>
              <w:t>Moderate</w:t>
            </w:r>
          </w:p>
        </w:tc>
        <w:tc>
          <w:tcPr>
            <w:tcW w:type="dxa" w:w="6192"/>
            <w:vAlign w:val="center"/>
          </w:tcPr>
          <w:p>
            <w:pPr>
              <w:spacing w:after="0"/>
            </w:pPr>
            <w:r/>
            <w:r>
              <w:rPr>
                <w:rFonts w:ascii="Aptos" w:hAnsi="Aptos"/>
                <w:b w:val="0"/>
                <w:color w:val="172B3A"/>
                <w:sz w:val="17"/>
              </w:rPr>
              <w:t>Tanker booking, grievance systems and tracking already exist in multiple cities.</w:t>
            </w:r>
          </w:p>
        </w:tc>
      </w:tr>
      <w:tr>
        <w:tc>
          <w:tcPr>
            <w:tcW w:type="dxa" w:w="2016"/>
            <w:vAlign w:val="center"/>
          </w:tcPr>
          <w:p>
            <w:pPr>
              <w:spacing w:after="0"/>
            </w:pPr>
            <w:r/>
            <w:r>
              <w:rPr>
                <w:rFonts w:ascii="Aptos" w:hAnsi="Aptos"/>
                <w:b w:val="0"/>
                <w:color w:val="172B3A"/>
                <w:sz w:val="17"/>
              </w:rPr>
              <w:t>Potential novelty</w:t>
            </w:r>
          </w:p>
        </w:tc>
        <w:tc>
          <w:tcPr>
            <w:tcW w:type="dxa" w:w="1728"/>
            <w:vAlign w:val="center"/>
          </w:tcPr>
          <w:p>
            <w:pPr>
              <w:spacing w:after="0"/>
            </w:pPr>
            <w:r/>
            <w:r>
              <w:rPr>
                <w:rFonts w:ascii="Aptos" w:hAnsi="Aptos"/>
                <w:b w:val="0"/>
                <w:color w:val="172B3A"/>
                <w:sz w:val="17"/>
              </w:rPr>
              <w:t>High</w:t>
            </w:r>
          </w:p>
        </w:tc>
        <w:tc>
          <w:tcPr>
            <w:tcW w:type="dxa" w:w="6192"/>
            <w:vAlign w:val="center"/>
          </w:tcPr>
          <w:p>
            <w:pPr>
              <w:spacing w:after="0"/>
            </w:pPr>
            <w:r/>
            <w:r>
              <w:rPr>
                <w:rFonts w:ascii="Aptos" w:hAnsi="Aptos"/>
                <w:b w:val="0"/>
                <w:color w:val="172B3A"/>
                <w:sz w:val="17"/>
              </w:rPr>
              <w:t>The combined fairness + explainability + service-equity + allocation layer is the differentiation.</w:t>
            </w:r>
          </w:p>
        </w:tc>
      </w:tr>
      <w:tr>
        <w:tc>
          <w:tcPr>
            <w:tcW w:type="dxa" w:w="2016"/>
            <w:vAlign w:val="center"/>
          </w:tcPr>
          <w:p>
            <w:pPr>
              <w:spacing w:after="0"/>
            </w:pPr>
            <w:r/>
            <w:r>
              <w:rPr>
                <w:rFonts w:ascii="Aptos" w:hAnsi="Aptos"/>
                <w:b w:val="0"/>
                <w:color w:val="172B3A"/>
                <w:sz w:val="17"/>
              </w:rPr>
              <w:t>AI dependency</w:t>
            </w:r>
          </w:p>
        </w:tc>
        <w:tc>
          <w:tcPr>
            <w:tcW w:type="dxa" w:w="1728"/>
            <w:vAlign w:val="center"/>
          </w:tcPr>
          <w:p>
            <w:pPr>
              <w:spacing w:after="0"/>
            </w:pPr>
            <w:r/>
            <w:r>
              <w:rPr>
                <w:rFonts w:ascii="Aptos" w:hAnsi="Aptos"/>
                <w:b w:val="0"/>
                <w:color w:val="172B3A"/>
                <w:sz w:val="17"/>
              </w:rPr>
              <w:t>Low–medium</w:t>
            </w:r>
          </w:p>
        </w:tc>
        <w:tc>
          <w:tcPr>
            <w:tcW w:type="dxa" w:w="6192"/>
            <w:vAlign w:val="center"/>
          </w:tcPr>
          <w:p>
            <w:pPr>
              <w:spacing w:after="0"/>
            </w:pPr>
            <w:r/>
            <w:r>
              <w:rPr>
                <w:rFonts w:ascii="Aptos" w:hAnsi="Aptos"/>
                <w:b w:val="0"/>
                <w:color w:val="172B3A"/>
                <w:sz w:val="17"/>
              </w:rPr>
              <w:t>Core solution can be rule/optimization driven; forecasting can be added without making AI the product.</w:t>
            </w:r>
          </w:p>
        </w:tc>
      </w:tr>
      <w:tr>
        <w:tc>
          <w:tcPr>
            <w:tcW w:type="dxa" w:w="2016"/>
            <w:vAlign w:val="center"/>
          </w:tcPr>
          <w:p>
            <w:pPr>
              <w:spacing w:after="0"/>
            </w:pPr>
            <w:r/>
            <w:r>
              <w:rPr>
                <w:rFonts w:ascii="Aptos" w:hAnsi="Aptos"/>
                <w:b w:val="0"/>
                <w:color w:val="172B3A"/>
                <w:sz w:val="17"/>
              </w:rPr>
              <w:t>Hackathon suitability</w:t>
            </w:r>
          </w:p>
        </w:tc>
        <w:tc>
          <w:tcPr>
            <w:tcW w:type="dxa" w:w="1728"/>
            <w:vAlign w:val="center"/>
          </w:tcPr>
          <w:p>
            <w:pPr>
              <w:spacing w:after="0"/>
            </w:pPr>
            <w:r/>
            <w:r>
              <w:rPr>
                <w:rFonts w:ascii="Aptos" w:hAnsi="Aptos"/>
                <w:b w:val="0"/>
                <w:color w:val="172B3A"/>
                <w:sz w:val="17"/>
              </w:rPr>
              <w:t>Very high</w:t>
            </w:r>
          </w:p>
        </w:tc>
        <w:tc>
          <w:tcPr>
            <w:tcW w:type="dxa" w:w="6192"/>
            <w:vAlign w:val="center"/>
          </w:tcPr>
          <w:p>
            <w:pPr>
              <w:spacing w:after="0"/>
            </w:pPr>
            <w:r/>
            <w:r>
              <w:rPr>
                <w:rFonts w:ascii="Aptos" w:hAnsi="Aptos"/>
                <w:b w:val="0"/>
                <w:color w:val="172B3A"/>
                <w:sz w:val="17"/>
              </w:rPr>
              <w:t>A single simulation can compare first-come-first-served allocation against the proposed approach.</w:t>
            </w:r>
          </w:p>
        </w:tc>
      </w:tr>
    </w:tbl>
    <w:p>
      <w:pPr>
        <w:spacing w:after="0"/>
      </w:pPr>
    </w:p>
    <w:p>
      <w:r>
        <w:br w:type="page"/>
      </w:r>
    </w:p>
    <w:p>
      <w:pPr>
        <w:pStyle w:val="Heading1"/>
      </w:pPr>
      <w:r>
        <w:t>2. Problem Definition &amp; Evidence</w:t>
      </w:r>
    </w:p>
    <w:p>
      <w:r>
        <w:t>The PS describes a recurring failure mode in water-stressed communities: operational demand is visible through tanker requests, schedules and complaints, but allocation decisions can remain fragmented. This creates a risk that visible or well-connected communities receive repeated support while less-visible communities remain underserved.</w:t>
      </w:r>
    </w:p>
    <w:p>
      <w:pPr>
        <w:pStyle w:val="Heading2"/>
      </w:pPr>
      <w:r>
        <w:t>2.1 Scarcity and urban growth</w:t>
      </w:r>
    </w:p>
    <w:p>
      <w:pPr>
        <w:pStyle w:val="ListBullet"/>
        <w:spacing w:after="40"/>
        <w:ind w:left="317"/>
      </w:pPr>
      <w:r>
        <w:t>India has 18% of the world's population but 4% of its water resources; nearly 70% of India's rainfall occurs in roughly three months, increasing the importance of storage and distribution management. [1]</w:t>
      </w:r>
    </w:p>
    <w:p>
      <w:pPr>
        <w:pStyle w:val="ListBullet"/>
        <w:spacing w:after="40"/>
        <w:ind w:left="317"/>
      </w:pPr>
      <w:r>
        <w:t>Per-capita water availability in India has fallen by half since 1970. The World Bank states that 600 million people face water stress. [1]</w:t>
      </w:r>
    </w:p>
    <w:p>
      <w:pPr>
        <w:pStyle w:val="ListBullet"/>
        <w:spacing w:after="40"/>
        <w:ind w:left="317"/>
      </w:pPr>
      <w:r>
        <w:t>An additional 416 million people are expected to live in Indian cities by 2050, adding pressure to already-stressed urban water systems. [1]</w:t>
      </w:r>
    </w:p>
    <w:p>
      <w:pPr>
        <w:pStyle w:val="ListBullet"/>
        <w:spacing w:after="40"/>
        <w:ind w:left="317"/>
      </w:pPr>
      <w:r>
        <w:t>UN-Habitat projects urban water demand to rise 50–70% over the next three decades and estimates that around 1.9 billion urban residents could face seasonal water shortages by 2050. [8]</w:t>
      </w:r>
    </w:p>
    <w:p>
      <w:pPr>
        <w:pStyle w:val="Heading2"/>
      </w:pPr>
      <w:r>
        <w:t>2.2 Service reliability is a different problem from nominal coverage</w:t>
      </w:r>
    </w:p>
    <w:p>
      <w:r>
        <w:t>The Ministry of Housing and Urban Affairs' service-level benchmarks specify 135 lpcd and 24-hour continuity for urban water supply, alongside 100% connection coverage and 80% efficiency in complaint redressal. [2] The existence of these benchmarks is useful for our project because they show that 'having a water connection' is not the same as receiving an adequate and reliable service.</w:t>
      </w:r>
    </w:p>
    <w:tbl>
      <w:tblPr>
        <w:tblW w:type="auto" w:w="0"/>
        <w:jc w:val="center"/>
        <w:tblLook w:firstColumn="1" w:firstRow="1" w:lastColumn="0" w:lastRow="0" w:noHBand="0" w:noVBand="1" w:val="04A0"/>
      </w:tblPr>
      <w:tblGrid>
        <w:gridCol w:w="10166"/>
      </w:tblGrid>
      <w:tr>
        <w:tc>
          <w:tcPr>
            <w:tcW w:type="dxa" w:w="10166"/>
            <w:shd w:fill="FFF5E8"/>
          </w:tcPr>
          <w:p>
            <w:pPr>
              <w:spacing w:after="60"/>
            </w:pPr>
            <w:r>
              <w:rPr>
                <w:b/>
                <w:color w:val="E17F42"/>
                <w:sz w:val="18"/>
              </w:rPr>
              <w:t>IMPORTANT FRAMING</w:t>
            </w:r>
          </w:p>
          <w:p>
            <w:pPr>
              <w:spacing w:after="0"/>
            </w:pPr>
            <w:r>
              <w:rPr>
                <w:color w:val="172B3A"/>
                <w:sz w:val="20"/>
              </w:rPr>
              <w:t>Our platform should optimize the allocation of emergency/shortage-response resources; it does not solve underlying physical supply deficits, treatment capacity, leakage, drought or reservoir constraints.</w:t>
            </w:r>
          </w:p>
        </w:tc>
      </w:tr>
    </w:tbl>
    <w:p>
      <w:pPr>
        <w:pStyle w:val="Heading2"/>
      </w:pPr>
      <w:r>
        <w:t>2.3 Household coping burden</w:t>
      </w:r>
    </w:p>
    <w:p>
      <w:r>
        <w:t>Water scarcity also produces time and economic costs for households. UNICEF's synthesis of India's 2018 national survey reports that about 40% of rural households and 20% of urban households collected water from off-premises sources. In the 64 million households where women collected water away from home, nearly 50 million person-hours of women's time were spent on water collection each day; almost 90% of this burden fell on rural women. [9]</w:t>
      </w:r>
    </w:p>
    <w:p>
      <w:r>
        <w:t>UNICEF India additionally reports that close to 54% of rural women in the cited 2016 assessment spent an estimated 35 minutes collecting water each day, equivalent to a stated loss of 27 days of wages per year under the report's assumptions. [10] These figures are evidence of the social cost of unreliable access; they should not be interpreted as a direct causal estimate for the proposed platform.</w:t>
      </w:r>
    </w:p>
    <w:p>
      <w:pPr>
        <w:pStyle w:val="Heading2"/>
      </w:pPr>
      <w:r>
        <w:t>2.4 Vulnerability and less-visible communities</w:t>
      </w:r>
    </w:p>
    <w:p>
      <w:r>
        <w:t>The World Bank's recent urban-resilience assessment notes that the 2011 Census recorded 65.5 million Indians living in informal urban neighbourhoods and identifies informal settlements as increasing city vulnerability to climate and disaster impacts, particularly for low-income residents. [11]</w:t>
      </w:r>
    </w:p>
    <w:p>
      <w:r>
        <w:t>A key design implication follows: the number of formal digital requests should not be treated as a perfect proxy for need. A locality with poorer connectivity or fewer channels may generate fewer requests while still experiencing a larger service deficit.</w:t>
      </w:r>
    </w:p>
    <w:p>
      <w:pPr>
        <w:pStyle w:val="Heading2"/>
      </w:pPr>
      <w:r>
        <w:t>2.5 The tanker economy during shortages</w:t>
      </w:r>
    </w:p>
    <w:p>
      <w:r>
        <w:t>Mumbai's June 2026 water shortage provides a current illustration of shortage-driven tanker pressure. Reports documented private tanker price increases during the shortage, including typical non-potable tanker prices of roughly ₹1,200–₹1,800 in one report and cases where a 20,000-litre tanker previously priced around ₹3,200–₹4,000 was quoted around ₹5,500 during a tanker strike. [12][13] These are reported market observations, not universal prices.</w:t>
      </w:r>
    </w:p>
    <w:p>
      <w:r>
        <w:t>Mumbai was also reported to be moving toward OTP-based tanker booking and digital monitoring, showing that digitization of the transaction layer is already an active municipal direction. [14]</w:t>
      </w:r>
    </w:p>
    <w:p>
      <w:pPr>
        <w:pStyle w:val="Heading1"/>
      </w:pPr>
      <w:r>
        <w:t>3. Five High-Value Problem Areas and Proposed USPs</w:t>
      </w:r>
    </w:p>
    <w:p>
      <w:r>
        <w:t>These five problems are the strongest foundation for the product's USP. Each solution is deliberately framed as an operational capability rather than an AI feature.</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17354F"/>
          </w:tcPr>
          <w:p>
            <w:pPr>
              <w:spacing w:after="0"/>
            </w:pPr>
            <w:r/>
            <w:r>
              <w:rPr>
                <w:rFonts w:ascii="Aptos" w:hAnsi="Aptos"/>
                <w:b/>
                <w:color w:val="FFFFFF"/>
                <w:sz w:val="18"/>
              </w:rPr>
              <w:t>Observed problem</w:t>
            </w:r>
          </w:p>
        </w:tc>
        <w:tc>
          <w:tcPr>
            <w:tcW w:type="dxa" w:w="3240"/>
            <w:vAlign w:val="center"/>
            <w:shd w:fill="17354F"/>
          </w:tcPr>
          <w:p>
            <w:pPr>
              <w:spacing w:after="0"/>
            </w:pPr>
            <w:r/>
            <w:r>
              <w:rPr>
                <w:rFonts w:ascii="Aptos" w:hAnsi="Aptos"/>
                <w:b/>
                <w:color w:val="FFFFFF"/>
                <w:sz w:val="18"/>
              </w:rPr>
              <w:t>Evidence</w:t>
            </w:r>
          </w:p>
        </w:tc>
        <w:tc>
          <w:tcPr>
            <w:tcW w:type="dxa" w:w="4464"/>
            <w:vAlign w:val="center"/>
            <w:shd w:fill="17354F"/>
          </w:tcPr>
          <w:p>
            <w:pPr>
              <w:spacing w:after="0"/>
            </w:pPr>
            <w:r/>
            <w:r>
              <w:rPr>
                <w:rFonts w:ascii="Aptos" w:hAnsi="Aptos"/>
                <w:b/>
                <w:color w:val="FFFFFF"/>
                <w:sz w:val="18"/>
              </w:rPr>
              <w:t>USP / proposed solution</w:t>
            </w:r>
          </w:p>
        </w:tc>
      </w:tr>
      <w:tr>
        <w:tc>
          <w:tcPr>
            <w:tcW w:type="dxa" w:w="2232"/>
            <w:vAlign w:val="center"/>
          </w:tcPr>
          <w:p>
            <w:pPr>
              <w:spacing w:after="0"/>
            </w:pPr>
            <w:r/>
            <w:r>
              <w:rPr>
                <w:rFonts w:ascii="Aptos" w:hAnsi="Aptos"/>
                <w:b w:val="0"/>
                <w:color w:val="172B3A"/>
                <w:sz w:val="17"/>
              </w:rPr>
              <w:t>Allocation can follow request order rather than need.</w:t>
            </w:r>
          </w:p>
        </w:tc>
        <w:tc>
          <w:tcPr>
            <w:tcW w:type="dxa" w:w="3240"/>
            <w:vAlign w:val="center"/>
          </w:tcPr>
          <w:p>
            <w:pPr>
              <w:spacing w:after="0"/>
            </w:pPr>
            <w:r/>
            <w:r>
              <w:rPr>
                <w:rFonts w:ascii="Aptos" w:hAnsi="Aptos"/>
                <w:b w:val="0"/>
                <w:color w:val="172B3A"/>
                <w:sz w:val="17"/>
              </w:rPr>
              <w:t>Water scarcity is widespread; allocation research explicitly identifies fairness-efficiency trade-offs under scarcity. [1][5][6]</w:t>
            </w:r>
          </w:p>
        </w:tc>
        <w:tc>
          <w:tcPr>
            <w:tcW w:type="dxa" w:w="4464"/>
            <w:vAlign w:val="center"/>
          </w:tcPr>
          <w:p>
            <w:pPr>
              <w:spacing w:after="0"/>
            </w:pPr>
            <w:r/>
            <w:r>
              <w:rPr>
                <w:rFonts w:ascii="Aptos" w:hAnsi="Aptos"/>
                <w:b w:val="0"/>
                <w:color w:val="172B3A"/>
                <w:sz w:val="17"/>
              </w:rPr>
              <w:t>Need-aware allocation using vulnerability, unmet demand, population, historical service and distance.</w:t>
            </w:r>
          </w:p>
        </w:tc>
      </w:tr>
      <w:tr>
        <w:tc>
          <w:tcPr>
            <w:tcW w:type="dxa" w:w="2232"/>
            <w:vAlign w:val="center"/>
          </w:tcPr>
          <w:p>
            <w:pPr>
              <w:spacing w:after="0"/>
            </w:pPr>
            <w:r/>
            <w:r>
              <w:rPr>
                <w:rFonts w:ascii="Aptos" w:hAnsi="Aptos"/>
                <w:b w:val="0"/>
                <w:color w:val="172B3A"/>
                <w:sz w:val="17"/>
              </w:rPr>
              <w:t>Intermittent service pushes households toward coping mechanisms.</w:t>
            </w:r>
          </w:p>
        </w:tc>
        <w:tc>
          <w:tcPr>
            <w:tcW w:type="dxa" w:w="3240"/>
            <w:vAlign w:val="center"/>
          </w:tcPr>
          <w:p>
            <w:pPr>
              <w:spacing w:after="0"/>
            </w:pPr>
            <w:r/>
            <w:r>
              <w:rPr>
                <w:rFonts w:ascii="Aptos" w:hAnsi="Aptos"/>
                <w:b w:val="0"/>
                <w:color w:val="172B3A"/>
                <w:sz w:val="17"/>
              </w:rPr>
              <w:t>World Bank documents intermittent urban supply and associated coping burdens. [1][11]</w:t>
            </w:r>
          </w:p>
        </w:tc>
        <w:tc>
          <w:tcPr>
            <w:tcW w:type="dxa" w:w="4464"/>
            <w:vAlign w:val="center"/>
          </w:tcPr>
          <w:p>
            <w:pPr>
              <w:spacing w:after="0"/>
            </w:pPr>
            <w:r/>
            <w:r>
              <w:rPr>
                <w:rFonts w:ascii="Aptos" w:hAnsi="Aptos"/>
                <w:b w:val="0"/>
                <w:color w:val="172B3A"/>
                <w:sz w:val="17"/>
              </w:rPr>
              <w:t>Demand + shortage map showing where unmet demand and service gaps are accumulating.</w:t>
            </w:r>
          </w:p>
        </w:tc>
      </w:tr>
      <w:tr>
        <w:tc>
          <w:tcPr>
            <w:tcW w:type="dxa" w:w="2232"/>
            <w:vAlign w:val="center"/>
          </w:tcPr>
          <w:p>
            <w:pPr>
              <w:spacing w:after="0"/>
            </w:pPr>
            <w:r/>
            <w:r>
              <w:rPr>
                <w:rFonts w:ascii="Aptos" w:hAnsi="Aptos"/>
                <w:b w:val="0"/>
                <w:color w:val="172B3A"/>
                <w:sz w:val="17"/>
              </w:rPr>
              <w:t>Digital tanker/complaint systems already exist, but booking is not the same as allocation intelligence.</w:t>
            </w:r>
          </w:p>
        </w:tc>
        <w:tc>
          <w:tcPr>
            <w:tcW w:type="dxa" w:w="3240"/>
            <w:vAlign w:val="center"/>
          </w:tcPr>
          <w:p>
            <w:pPr>
              <w:spacing w:after="0"/>
            </w:pPr>
            <w:r/>
            <w:r>
              <w:rPr>
                <w:rFonts w:ascii="Aptos" w:hAnsi="Aptos"/>
                <w:b w:val="0"/>
                <w:color w:val="172B3A"/>
                <w:sz w:val="17"/>
              </w:rPr>
              <w:t>Hyderabad and NDMC already expose tanker booking and/or grievance/status workflows. [3][4]</w:t>
            </w:r>
          </w:p>
        </w:tc>
        <w:tc>
          <w:tcPr>
            <w:tcW w:type="dxa" w:w="4464"/>
            <w:vAlign w:val="center"/>
          </w:tcPr>
          <w:p>
            <w:pPr>
              <w:spacing w:after="0"/>
            </w:pPr>
            <w:r/>
            <w:r>
              <w:rPr>
                <w:rFonts w:ascii="Aptos" w:hAnsi="Aptos"/>
                <w:b w:val="0"/>
                <w:color w:val="172B3A"/>
                <w:sz w:val="17"/>
              </w:rPr>
              <w:t>Allocation decision layer that recommends where the next limited resource should go.</w:t>
            </w:r>
          </w:p>
        </w:tc>
      </w:tr>
      <w:tr>
        <w:tc>
          <w:tcPr>
            <w:tcW w:type="dxa" w:w="2232"/>
            <w:vAlign w:val="center"/>
          </w:tcPr>
          <w:p>
            <w:pPr>
              <w:spacing w:after="0"/>
            </w:pPr>
            <w:r/>
            <w:r>
              <w:rPr>
                <w:rFonts w:ascii="Aptos" w:hAnsi="Aptos"/>
                <w:b w:val="0"/>
                <w:color w:val="172B3A"/>
                <w:sz w:val="17"/>
              </w:rPr>
              <w:t>Less-visible or vulnerable communities can be underrepresented in digital request volumes.</w:t>
            </w:r>
          </w:p>
        </w:tc>
        <w:tc>
          <w:tcPr>
            <w:tcW w:type="dxa" w:w="3240"/>
            <w:vAlign w:val="center"/>
          </w:tcPr>
          <w:p>
            <w:pPr>
              <w:spacing w:after="0"/>
            </w:pPr>
            <w:r/>
            <w:r>
              <w:rPr>
                <w:rFonts w:ascii="Aptos" w:hAnsi="Aptos"/>
                <w:b w:val="0"/>
                <w:color w:val="172B3A"/>
                <w:sz w:val="17"/>
              </w:rPr>
              <w:t>World Bank identifies vulnerability in informal urban neighbourhoods; UNICEF documents unequal water-collection burdens. [9][11]</w:t>
            </w:r>
          </w:p>
        </w:tc>
        <w:tc>
          <w:tcPr>
            <w:tcW w:type="dxa" w:w="4464"/>
            <w:vAlign w:val="center"/>
          </w:tcPr>
          <w:p>
            <w:pPr>
              <w:spacing w:after="0"/>
            </w:pPr>
            <w:r/>
            <w:r>
              <w:rPr>
                <w:rFonts w:ascii="Aptos" w:hAnsi="Aptos"/>
                <w:b w:val="0"/>
                <w:color w:val="172B3A"/>
                <w:sz w:val="17"/>
              </w:rPr>
              <w:t>Service-equity layer using historical service and vulnerability to surface chronically underserved areas.</w:t>
            </w:r>
          </w:p>
        </w:tc>
      </w:tr>
      <w:tr>
        <w:tc>
          <w:tcPr>
            <w:tcW w:type="dxa" w:w="2232"/>
            <w:vAlign w:val="center"/>
          </w:tcPr>
          <w:p>
            <w:pPr>
              <w:spacing w:after="0"/>
            </w:pPr>
            <w:r/>
            <w:r>
              <w:rPr>
                <w:rFonts w:ascii="Aptos" w:hAnsi="Aptos"/>
                <w:b w:val="0"/>
                <w:color w:val="172B3A"/>
                <w:sz w:val="17"/>
              </w:rPr>
              <w:t>Complaint data is often recorded without being converted into system-wide intelligence.</w:t>
            </w:r>
          </w:p>
        </w:tc>
        <w:tc>
          <w:tcPr>
            <w:tcW w:type="dxa" w:w="3240"/>
            <w:vAlign w:val="center"/>
          </w:tcPr>
          <w:p>
            <w:pPr>
              <w:spacing w:after="0"/>
            </w:pPr>
            <w:r/>
            <w:r>
              <w:rPr>
                <w:rFonts w:ascii="Aptos" w:hAnsi="Aptos"/>
                <w:b w:val="0"/>
                <w:color w:val="172B3A"/>
                <w:sz w:val="17"/>
              </w:rPr>
              <w:t>Survey of 504 community water systems found less than half used complaint data to track system-wide trends. [15]</w:t>
            </w:r>
          </w:p>
        </w:tc>
        <w:tc>
          <w:tcPr>
            <w:tcW w:type="dxa" w:w="4464"/>
            <w:vAlign w:val="center"/>
          </w:tcPr>
          <w:p>
            <w:pPr>
              <w:spacing w:after="0"/>
            </w:pPr>
            <w:r/>
            <w:r>
              <w:rPr>
                <w:rFonts w:ascii="Aptos" w:hAnsi="Aptos"/>
                <w:b w:val="0"/>
                <w:color w:val="172B3A"/>
                <w:sz w:val="17"/>
              </w:rPr>
              <w:t>Complaint clustering that converts individual reports into geographic community signals and operational alerts.</w:t>
            </w:r>
          </w:p>
        </w:tc>
      </w:tr>
    </w:tbl>
    <w:p>
      <w:pPr>
        <w:spacing w:after="0"/>
      </w:pPr>
    </w:p>
    <w:p>
      <w:pPr>
        <w:pStyle w:val="Heading2"/>
      </w:pPr>
      <w:r>
        <w:t>3.1 USP in one sentence</w:t>
      </w:r>
    </w:p>
    <w:tbl>
      <w:tblPr>
        <w:tblW w:type="auto" w:w="0"/>
        <w:jc w:val="center"/>
        <w:tblLook w:firstColumn="1" w:firstRow="1" w:lastColumn="0" w:lastRow="0" w:noHBand="0" w:noVBand="1" w:val="04A0"/>
      </w:tblPr>
      <w:tblGrid>
        <w:gridCol w:w="10166"/>
      </w:tblGrid>
      <w:tr>
        <w:tc>
          <w:tcPr>
            <w:tcW w:type="dxa" w:w="10166"/>
            <w:shd w:fill="EAF8F3"/>
          </w:tcPr>
          <w:p>
            <w:pPr>
              <w:spacing w:after="60"/>
            </w:pPr>
            <w:r>
              <w:rPr>
                <w:b/>
                <w:color w:val="1EAE7A"/>
                <w:sz w:val="18"/>
              </w:rPr>
              <w:t>USP</w:t>
            </w:r>
          </w:p>
          <w:p>
            <w:pPr>
              <w:spacing w:after="0"/>
            </w:pPr>
            <w:r>
              <w:rPr>
                <w:color w:val="172B3A"/>
                <w:sz w:val="20"/>
              </w:rPr>
              <w:t>Existing water-service platforms help residents request and track water; our platform helps authorities decide who should receive scarce water first, explains why, and measures whether the resulting distribution became fairer.</w:t>
            </w:r>
          </w:p>
        </w:tc>
      </w:tr>
    </w:tbl>
    <w:p>
      <w:r>
        <w:br w:type="page"/>
      </w:r>
    </w:p>
    <w:p>
      <w:pPr>
        <w:pStyle w:val="Heading1"/>
      </w:pPr>
      <w:r>
        <w:t>4. Existing Systems: India and Worldwide</w:t>
      </w:r>
    </w:p>
    <w:p>
      <w:r>
        <w:t>The product should acknowledge existing infrastructure and position itself as an enhancement or decision layer rather than pretending to replace all municipal water platforms.</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17354F"/>
          </w:tcPr>
          <w:p>
            <w:pPr>
              <w:spacing w:after="0"/>
            </w:pPr>
            <w:r/>
            <w:r>
              <w:rPr>
                <w:rFonts w:ascii="Aptos" w:hAnsi="Aptos"/>
                <w:b/>
                <w:color w:val="FFFFFF"/>
                <w:sz w:val="18"/>
              </w:rPr>
              <w:t>System / location</w:t>
            </w:r>
          </w:p>
        </w:tc>
        <w:tc>
          <w:tcPr>
            <w:tcW w:type="dxa" w:w="4320"/>
            <w:vAlign w:val="center"/>
            <w:shd w:fill="17354F"/>
          </w:tcPr>
          <w:p>
            <w:pPr>
              <w:spacing w:after="0"/>
            </w:pPr>
            <w:r/>
            <w:r>
              <w:rPr>
                <w:rFonts w:ascii="Aptos" w:hAnsi="Aptos"/>
                <w:b/>
                <w:color w:val="FFFFFF"/>
                <w:sz w:val="18"/>
              </w:rPr>
              <w:t>Observed capability</w:t>
            </w:r>
          </w:p>
        </w:tc>
        <w:tc>
          <w:tcPr>
            <w:tcW w:type="dxa" w:w="3888"/>
            <w:vAlign w:val="center"/>
            <w:shd w:fill="17354F"/>
          </w:tcPr>
          <w:p>
            <w:pPr>
              <w:spacing w:after="0"/>
            </w:pPr>
            <w:r/>
            <w:r>
              <w:rPr>
                <w:rFonts w:ascii="Aptos" w:hAnsi="Aptos"/>
                <w:b/>
                <w:color w:val="FFFFFF"/>
                <w:sz w:val="18"/>
              </w:rPr>
              <w:t>Gap relevant to PS 11</w:t>
            </w:r>
          </w:p>
        </w:tc>
      </w:tr>
      <w:tr>
        <w:tc>
          <w:tcPr>
            <w:tcW w:type="dxa" w:w="1728"/>
            <w:vAlign w:val="center"/>
          </w:tcPr>
          <w:p>
            <w:pPr>
              <w:spacing w:after="0"/>
            </w:pPr>
            <w:r/>
            <w:r>
              <w:rPr>
                <w:rFonts w:ascii="Aptos" w:hAnsi="Aptos"/>
                <w:b w:val="0"/>
                <w:color w:val="172B3A"/>
                <w:sz w:val="17"/>
              </w:rPr>
              <w:t>HMWSSB, Hyderabad</w:t>
            </w:r>
          </w:p>
        </w:tc>
        <w:tc>
          <w:tcPr>
            <w:tcW w:type="dxa" w:w="4320"/>
            <w:vAlign w:val="center"/>
          </w:tcPr>
          <w:p>
            <w:pPr>
              <w:spacing w:after="0"/>
            </w:pPr>
            <w:r/>
            <w:r>
              <w:rPr>
                <w:rFonts w:ascii="Aptos" w:hAnsi="Aptos"/>
                <w:b w:val="0"/>
                <w:color w:val="172B3A"/>
                <w:sz w:val="17"/>
              </w:rPr>
              <w:t>Citizen app supports tanker booking, grievances, tanker status and complaint status; bilingual Telugu/English interface. Operational tanker tooling supports scheduling, navigation, tracking and delivery workflows. [3][16]</w:t>
            </w:r>
          </w:p>
        </w:tc>
        <w:tc>
          <w:tcPr>
            <w:tcW w:type="dxa" w:w="3888"/>
            <w:vAlign w:val="center"/>
          </w:tcPr>
          <w:p>
            <w:pPr>
              <w:spacing w:after="0"/>
            </w:pPr>
            <w:r/>
            <w:r>
              <w:rPr>
                <w:rFonts w:ascii="Aptos" w:hAnsi="Aptos"/>
                <w:b w:val="0"/>
                <w:color w:val="172B3A"/>
                <w:sz w:val="17"/>
              </w:rPr>
              <w:t>The publicly described feature set emphasizes service transactions and operations; PS 11 can focus on fairness-aware allocation and explainable prioritization.</w:t>
            </w:r>
          </w:p>
        </w:tc>
      </w:tr>
      <w:tr>
        <w:tc>
          <w:tcPr>
            <w:tcW w:type="dxa" w:w="1728"/>
            <w:vAlign w:val="center"/>
          </w:tcPr>
          <w:p>
            <w:pPr>
              <w:spacing w:after="0"/>
            </w:pPr>
            <w:r/>
            <w:r>
              <w:rPr>
                <w:rFonts w:ascii="Aptos" w:hAnsi="Aptos"/>
                <w:b w:val="0"/>
                <w:color w:val="172B3A"/>
                <w:sz w:val="17"/>
              </w:rPr>
              <w:t>NDMC, New Delhi</w:t>
            </w:r>
          </w:p>
        </w:tc>
        <w:tc>
          <w:tcPr>
            <w:tcW w:type="dxa" w:w="4320"/>
            <w:vAlign w:val="center"/>
          </w:tcPr>
          <w:p>
            <w:pPr>
              <w:spacing w:after="0"/>
            </w:pPr>
            <w:r/>
            <w:r>
              <w:rPr>
                <w:rFonts w:ascii="Aptos" w:hAnsi="Aptos"/>
                <w:b w:val="0"/>
                <w:color w:val="172B3A"/>
                <w:sz w:val="17"/>
              </w:rPr>
              <w:t>Online tanker/trolley booking includes applicant, quantity, date, time and delivery-address fields; application status can be checked with a booking ID. [4][17]</w:t>
            </w:r>
          </w:p>
        </w:tc>
        <w:tc>
          <w:tcPr>
            <w:tcW w:type="dxa" w:w="3888"/>
            <w:vAlign w:val="center"/>
          </w:tcPr>
          <w:p>
            <w:pPr>
              <w:spacing w:after="0"/>
            </w:pPr>
            <w:r/>
            <w:r>
              <w:rPr>
                <w:rFonts w:ascii="Aptos" w:hAnsi="Aptos"/>
                <w:b w:val="0"/>
                <w:color w:val="172B3A"/>
                <w:sz w:val="17"/>
              </w:rPr>
              <w:t>Booking and status do not by themselves answer city-wide allocation fairness or cross-neighbourhood equity.</w:t>
            </w:r>
          </w:p>
        </w:tc>
      </w:tr>
      <w:tr>
        <w:tc>
          <w:tcPr>
            <w:tcW w:type="dxa" w:w="1728"/>
            <w:vAlign w:val="center"/>
          </w:tcPr>
          <w:p>
            <w:pPr>
              <w:spacing w:after="0"/>
            </w:pPr>
            <w:r/>
            <w:r>
              <w:rPr>
                <w:rFonts w:ascii="Aptos" w:hAnsi="Aptos"/>
                <w:b w:val="0"/>
                <w:color w:val="172B3A"/>
                <w:sz w:val="17"/>
              </w:rPr>
              <w:t>Cape Town, South Africa</w:t>
            </w:r>
          </w:p>
        </w:tc>
        <w:tc>
          <w:tcPr>
            <w:tcW w:type="dxa" w:w="4320"/>
            <w:vAlign w:val="center"/>
          </w:tcPr>
          <w:p>
            <w:pPr>
              <w:spacing w:after="0"/>
            </w:pPr>
            <w:r/>
            <w:r>
              <w:rPr>
                <w:rFonts w:ascii="Aptos" w:hAnsi="Aptos"/>
                <w:b w:val="0"/>
                <w:color w:val="172B3A"/>
                <w:sz w:val="17"/>
              </w:rPr>
              <w:t>During the 2015–2018 drought, the city reports reducing water demand by 55% through technical, financial and communication measures; its Water Map communicated water-use and pressure-management information. [18]</w:t>
            </w:r>
          </w:p>
        </w:tc>
        <w:tc>
          <w:tcPr>
            <w:tcW w:type="dxa" w:w="3888"/>
            <w:vAlign w:val="center"/>
          </w:tcPr>
          <w:p>
            <w:pPr>
              <w:spacing w:after="0"/>
            </w:pPr>
            <w:r/>
            <w:r>
              <w:rPr>
                <w:rFonts w:ascii="Aptos" w:hAnsi="Aptos"/>
                <w:b w:val="0"/>
                <w:color w:val="172B3A"/>
                <w:sz w:val="17"/>
              </w:rPr>
              <w:t>Strong precedent for public-facing water intelligence, but not the same as a need-weighted tanker allocation engine.</w:t>
            </w:r>
          </w:p>
        </w:tc>
      </w:tr>
      <w:tr>
        <w:tc>
          <w:tcPr>
            <w:tcW w:type="dxa" w:w="1728"/>
            <w:vAlign w:val="center"/>
          </w:tcPr>
          <w:p>
            <w:pPr>
              <w:spacing w:after="0"/>
            </w:pPr>
            <w:r/>
            <w:r>
              <w:rPr>
                <w:rFonts w:ascii="Aptos" w:hAnsi="Aptos"/>
                <w:b w:val="0"/>
                <w:color w:val="172B3A"/>
                <w:sz w:val="17"/>
              </w:rPr>
              <w:t>PUB, Singapore</w:t>
            </w:r>
          </w:p>
        </w:tc>
        <w:tc>
          <w:tcPr>
            <w:tcW w:type="dxa" w:w="4320"/>
            <w:vAlign w:val="center"/>
          </w:tcPr>
          <w:p>
            <w:pPr>
              <w:spacing w:after="0"/>
            </w:pPr>
            <w:r/>
            <w:r>
              <w:rPr>
                <w:rFonts w:ascii="Aptos" w:hAnsi="Aptos"/>
                <w:b w:val="0"/>
                <w:color w:val="172B3A"/>
                <w:sz w:val="17"/>
              </w:rPr>
              <w:t>PUB reports around 300,000 smart water meters in the first phase of its programme, automatically transmitting usage data and supporting demand management and customer visibility. [19]</w:t>
            </w:r>
          </w:p>
        </w:tc>
        <w:tc>
          <w:tcPr>
            <w:tcW w:type="dxa" w:w="3888"/>
            <w:vAlign w:val="center"/>
          </w:tcPr>
          <w:p>
            <w:pPr>
              <w:spacing w:after="0"/>
            </w:pPr>
            <w:r/>
            <w:r>
              <w:rPr>
                <w:rFonts w:ascii="Aptos" w:hAnsi="Aptos"/>
                <w:b w:val="0"/>
                <w:color w:val="172B3A"/>
                <w:sz w:val="17"/>
              </w:rPr>
              <w:t>Strong demand-data model, but focused on metering and consumption management rather than shortage-period social allocation.</w:t>
            </w:r>
          </w:p>
        </w:tc>
      </w:tr>
      <w:tr>
        <w:tc>
          <w:tcPr>
            <w:tcW w:type="dxa" w:w="1728"/>
            <w:vAlign w:val="center"/>
          </w:tcPr>
          <w:p>
            <w:pPr>
              <w:spacing w:after="0"/>
            </w:pPr>
            <w:r/>
            <w:r>
              <w:rPr>
                <w:rFonts w:ascii="Aptos" w:hAnsi="Aptos"/>
                <w:b w:val="0"/>
                <w:color w:val="172B3A"/>
                <w:sz w:val="17"/>
              </w:rPr>
              <w:t>GIS-based urban inequality research, Malabo</w:t>
            </w:r>
          </w:p>
        </w:tc>
        <w:tc>
          <w:tcPr>
            <w:tcW w:type="dxa" w:w="4320"/>
            <w:vAlign w:val="center"/>
          </w:tcPr>
          <w:p>
            <w:pPr>
              <w:spacing w:after="0"/>
            </w:pPr>
            <w:r/>
            <w:r>
              <w:rPr>
                <w:rFonts w:ascii="Aptos" w:hAnsi="Aptos"/>
                <w:b w:val="0"/>
                <w:color w:val="172B3A"/>
                <w:sz w:val="17"/>
              </w:rPr>
              <w:t>2026 study combined GIS clustering with 500 household surveys and 230 water samples to map multiple dimensions of water access and identify inequalities within and across neighbourhoods. [20]</w:t>
            </w:r>
          </w:p>
        </w:tc>
        <w:tc>
          <w:tcPr>
            <w:tcW w:type="dxa" w:w="3888"/>
            <w:vAlign w:val="center"/>
          </w:tcPr>
          <w:p>
            <w:pPr>
              <w:spacing w:after="0"/>
            </w:pPr>
            <w:r/>
            <w:r>
              <w:rPr>
                <w:rFonts w:ascii="Aptos" w:hAnsi="Aptos"/>
                <w:b w:val="0"/>
                <w:color w:val="172B3A"/>
                <w:sz w:val="17"/>
              </w:rPr>
              <w:t>Supports the feasibility of spatial inequality analysis and clustering; our proposed system connects this analysis to live allocation decisions.</w:t>
            </w:r>
          </w:p>
        </w:tc>
      </w:tr>
    </w:tbl>
    <w:p>
      <w:pPr>
        <w:spacing w:after="0"/>
      </w:pPr>
    </w:p>
    <w:p>
      <w:pPr>
        <w:pStyle w:val="Heading2"/>
      </w:pPr>
      <w:r>
        <w:t>4.1 Competitive conclusion</w:t>
      </w:r>
    </w:p>
    <w:p>
      <w:r>
        <w:t>The novelty should not be 'digital water booking', 'GPS tanker tracking', or 'complaint registration'. Those patterns already exist. The more defensible contribution is the integration of: (1) vulnerability-aware need scoring, (2) historical service balancing, (3) explainable allocation decisions, (4) spatial complaint intelligence, and (5) measurable service-equity outcomes.</w:t>
      </w:r>
    </w:p>
    <w:p>
      <w:pPr>
        <w:pStyle w:val="Heading1"/>
      </w:pPr>
      <w:r>
        <w:t>5. Research Literature: How Similar Problems Are Solved</w:t>
      </w:r>
    </w:p>
    <w:p>
      <w:pPr>
        <w:pStyle w:val="Heading2"/>
      </w:pPr>
      <w:r>
        <w:t>5.1 Equity–efficiency optimization</w:t>
      </w:r>
    </w:p>
    <w:p>
      <w:r>
        <w:t>A 2024 Journal of Hydrology paper, 'The limits to equity in water allocation under scarcity', classifies allocation mechanisms into canonical types and evaluates equity and reliability using analytical methods and Monte Carlo simulation. It demonstrates that allocation choices impose measurable limits on equity under changing supply conditions. [5]</w:t>
      </w:r>
    </w:p>
    <w:p>
      <w:r>
        <w:t>A 2023 Journal of Hydrology study built integrated water-resource allocation models with explicit fairness and efficiency objectives. It compared efficiency-priority, fairness-priority and stratified-water-supply approaches and used the Gini coefficient as part of its fairness analysis. [6]</w:t>
      </w:r>
    </w:p>
    <w:tbl>
      <w:tblPr>
        <w:tblW w:type="auto" w:w="0"/>
        <w:jc w:val="center"/>
        <w:tblLook w:firstColumn="1" w:firstRow="1" w:lastColumn="0" w:lastRow="0" w:noHBand="0" w:noVBand="1" w:val="04A0"/>
      </w:tblPr>
      <w:tblGrid>
        <w:gridCol w:w="10166"/>
      </w:tblGrid>
      <w:tr>
        <w:tc>
          <w:tcPr>
            <w:tcW w:type="dxa" w:w="10166"/>
            <w:shd w:fill="EAF5FA"/>
          </w:tcPr>
          <w:p>
            <w:pPr>
              <w:spacing w:after="60"/>
            </w:pPr>
            <w:r>
              <w:rPr>
                <w:b/>
                <w:color w:val="168CB8"/>
                <w:sz w:val="18"/>
              </w:rPr>
              <w:t>DESIGN IMPLICATION</w:t>
            </w:r>
          </w:p>
          <w:p>
            <w:pPr>
              <w:spacing w:after="0"/>
            </w:pPr>
            <w:r>
              <w:rPr>
                <w:color w:val="172B3A"/>
                <w:sz w:val="20"/>
              </w:rPr>
              <w:t>Fairness should be a first-class objective/constraint in the allocation engine. It should not be added after distance minimization.</w:t>
            </w:r>
          </w:p>
        </w:tc>
      </w:tr>
    </w:tbl>
    <w:p>
      <w:pPr>
        <w:pStyle w:val="Heading2"/>
      </w:pPr>
      <w:r>
        <w:t>5.2 Tanker scheduling and optimization</w:t>
      </w:r>
    </w:p>
    <w:p>
      <w:r>
        <w:t>Researchers at IIT Bombay and collaborators published a 2020 Industrial &amp; Engineering Chemistry Research framework for tanker-based urban water distribution. The work formulates tanker planning as a mixed-integer linear programming problem and includes water availability, quality constraints, demand, transportation and timely delivery while maximizing the number of users served and minimizing operating cost. [7]</w:t>
      </w:r>
    </w:p>
    <w:p>
      <w:r>
        <w:t>A 2022 IFAC paper extends the problem to uncertain demand using two-stage stochastic recourse programming, Sample Average Approximation and Monte Carlo Simulation. Its objective is to serve the maximum number of consumers while minimizing operating cost under demand uncertainty. [21]</w:t>
      </w:r>
    </w:p>
    <w:tbl>
      <w:tblPr>
        <w:tblW w:type="auto" w:w="0"/>
        <w:jc w:val="center"/>
        <w:tblLook w:firstColumn="1" w:firstRow="1" w:lastColumn="0" w:lastRow="0" w:noHBand="0" w:noVBand="1" w:val="04A0"/>
      </w:tblPr>
      <w:tblGrid>
        <w:gridCol w:w="10166"/>
      </w:tblGrid>
      <w:tr>
        <w:tc>
          <w:tcPr>
            <w:tcW w:type="dxa" w:w="10166"/>
            <w:shd w:fill="EAF8F3"/>
          </w:tcPr>
          <w:p>
            <w:pPr>
              <w:spacing w:after="60"/>
            </w:pPr>
            <w:r>
              <w:rPr>
                <w:b/>
                <w:color w:val="1EAE7A"/>
                <w:sz w:val="18"/>
              </w:rPr>
              <w:t>PROTOTYPE IMPLICATION</w:t>
            </w:r>
          </w:p>
          <w:p>
            <w:pPr>
              <w:spacing w:after="0"/>
            </w:pPr>
            <w:r>
              <w:rPr>
                <w:color w:val="172B3A"/>
                <w:sz w:val="20"/>
              </w:rPr>
              <w:t>The hackathon does not need to reproduce a research-grade MILP/stochastic solver. A constrained routing/allocation optimizer can demonstrate the same conceptual chain at a smaller scale.</w:t>
            </w:r>
          </w:p>
        </w:tc>
      </w:tr>
    </w:tbl>
    <w:p>
      <w:pPr>
        <w:pStyle w:val="Heading2"/>
      </w:pPr>
      <w:r>
        <w:t>5.3 Complaint intelligence</w:t>
      </w:r>
    </w:p>
    <w:p>
      <w:r>
        <w:t>A 2023 study surveyed 504 community water systems and found that less than half of respondents used complaint data to track system-wide trends. The authors argue that complaint data can support water-quality surveillance, infrastructure management and public communication. [15]</w:t>
      </w:r>
    </w:p>
    <w:p>
      <w:r>
        <w:t>This supports our choice to model complaints as spatial and temporal signals, rather than simply as service tickets.</w:t>
      </w:r>
    </w:p>
    <w:p>
      <w:pPr>
        <w:pStyle w:val="Heading2"/>
      </w:pPr>
      <w:r>
        <w:t>5.4 Spatial inequality and GIS</w:t>
      </w:r>
    </w:p>
    <w:p>
      <w:r>
        <w:t>A June 2026 study in the Journal of Urban Planning and Development used 500 household surveys and 230 water samples in Malabo and applied k-means clustering to map differences in quantity, quality, reliability, affordability and hauling time. The study identified important inequalities even across short physical distances. [20]</w:t>
      </w:r>
    </w:p>
    <w:p>
      <w:r>
        <w:t>This supports a map-centered interface in which neighbourhood-level service quality and reliability can be visualized rather than hidden in aggregate averages.</w:t>
      </w:r>
    </w:p>
    <w:p>
      <w:r>
        <w:br w:type="page"/>
      </w:r>
    </w:p>
    <w:p>
      <w:pPr>
        <w:pStyle w:val="Heading1"/>
      </w:pPr>
      <w:r>
        <w:t>6. Proposed Solution — WaterFlow</w:t>
      </w:r>
    </w:p>
    <w:p>
      <w:r>
        <w:t>WaterFlow is proposed as a GIS-enabled community water allocation and complaint-intelligence platform. It is designed as a decision-support system for municipalities, ward offices or authorized water-service operators.</w:t>
      </w:r>
    </w:p>
    <w:p>
      <w:pPr>
        <w:pStyle w:val="Heading2"/>
      </w:pPr>
      <w:r>
        <w:t>6.1 Functional layers</w:t>
      </w:r>
    </w:p>
    <w:tbl>
      <w:tblPr>
        <w:tblStyle w:val="TableGrid"/>
        <w:tblW w:type="auto" w:w="0"/>
        <w:jc w:val="center"/>
        <w:tblLook w:firstColumn="1" w:firstRow="1" w:lastColumn="0" w:lastRow="0" w:noHBand="0" w:noVBand="1" w:val="04A0"/>
      </w:tblPr>
      <w:tblGrid>
        <w:gridCol w:w="3389"/>
        <w:gridCol w:w="3389"/>
        <w:gridCol w:w="3389"/>
      </w:tblGrid>
      <w:tr>
        <w:tc>
          <w:tcPr>
            <w:tcW w:type="dxa" w:w="1512"/>
            <w:vAlign w:val="center"/>
            <w:shd w:fill="17354F"/>
          </w:tcPr>
          <w:p>
            <w:pPr>
              <w:spacing w:after="0"/>
            </w:pPr>
            <w:r/>
            <w:r>
              <w:rPr>
                <w:rFonts w:ascii="Aptos" w:hAnsi="Aptos"/>
                <w:b/>
                <w:color w:val="FFFFFF"/>
                <w:sz w:val="18"/>
              </w:rPr>
              <w:t>Layer</w:t>
            </w:r>
          </w:p>
        </w:tc>
        <w:tc>
          <w:tcPr>
            <w:tcW w:type="dxa" w:w="5760"/>
            <w:vAlign w:val="center"/>
            <w:shd w:fill="17354F"/>
          </w:tcPr>
          <w:p>
            <w:pPr>
              <w:spacing w:after="0"/>
            </w:pPr>
            <w:r/>
            <w:r>
              <w:rPr>
                <w:rFonts w:ascii="Aptos" w:hAnsi="Aptos"/>
                <w:b/>
                <w:color w:val="FFFFFF"/>
                <w:sz w:val="18"/>
              </w:rPr>
              <w:t>Main functions</w:t>
            </w:r>
          </w:p>
        </w:tc>
        <w:tc>
          <w:tcPr>
            <w:tcW w:type="dxa" w:w="2880"/>
            <w:vAlign w:val="center"/>
            <w:shd w:fill="17354F"/>
          </w:tcPr>
          <w:p>
            <w:pPr>
              <w:spacing w:after="0"/>
            </w:pPr>
            <w:r/>
            <w:r>
              <w:rPr>
                <w:rFonts w:ascii="Aptos" w:hAnsi="Aptos"/>
                <w:b/>
                <w:color w:val="FFFFFF"/>
                <w:sz w:val="18"/>
              </w:rPr>
              <w:t>Primary users</w:t>
            </w:r>
          </w:p>
        </w:tc>
      </w:tr>
      <w:tr>
        <w:tc>
          <w:tcPr>
            <w:tcW w:type="dxa" w:w="1512"/>
            <w:vAlign w:val="center"/>
          </w:tcPr>
          <w:p>
            <w:pPr>
              <w:spacing w:after="0"/>
            </w:pPr>
            <w:r/>
            <w:r>
              <w:rPr>
                <w:rFonts w:ascii="Aptos" w:hAnsi="Aptos"/>
                <w:b w:val="0"/>
                <w:color w:val="172B3A"/>
                <w:sz w:val="17"/>
              </w:rPr>
              <w:t>Citizen</w:t>
            </w:r>
          </w:p>
        </w:tc>
        <w:tc>
          <w:tcPr>
            <w:tcW w:type="dxa" w:w="5760"/>
            <w:vAlign w:val="center"/>
          </w:tcPr>
          <w:p>
            <w:pPr>
              <w:spacing w:after="0"/>
            </w:pPr>
            <w:r/>
            <w:r>
              <w:rPr>
                <w:rFonts w:ascii="Aptos" w:hAnsi="Aptos"/>
                <w:b w:val="0"/>
                <w:color w:val="172B3A"/>
                <w:sz w:val="17"/>
              </w:rPr>
              <w:t>Request water, report complaint, provide location, track status, multilingual/voice-assisted access.</w:t>
            </w:r>
          </w:p>
        </w:tc>
        <w:tc>
          <w:tcPr>
            <w:tcW w:type="dxa" w:w="2880"/>
            <w:vAlign w:val="center"/>
          </w:tcPr>
          <w:p>
            <w:pPr>
              <w:spacing w:after="0"/>
            </w:pPr>
            <w:r/>
            <w:r>
              <w:rPr>
                <w:rFonts w:ascii="Aptos" w:hAnsi="Aptos"/>
                <w:b w:val="0"/>
                <w:color w:val="172B3A"/>
                <w:sz w:val="17"/>
              </w:rPr>
              <w:t>Residents</w:t>
            </w:r>
          </w:p>
        </w:tc>
      </w:tr>
      <w:tr>
        <w:tc>
          <w:tcPr>
            <w:tcW w:type="dxa" w:w="1512"/>
            <w:vAlign w:val="center"/>
          </w:tcPr>
          <w:p>
            <w:pPr>
              <w:spacing w:after="0"/>
            </w:pPr>
            <w:r/>
            <w:r>
              <w:rPr>
                <w:rFonts w:ascii="Aptos" w:hAnsi="Aptos"/>
                <w:b w:val="0"/>
                <w:color w:val="172B3A"/>
                <w:sz w:val="17"/>
              </w:rPr>
              <w:t>Field / tanker</w:t>
            </w:r>
          </w:p>
        </w:tc>
        <w:tc>
          <w:tcPr>
            <w:tcW w:type="dxa" w:w="5760"/>
            <w:vAlign w:val="center"/>
          </w:tcPr>
          <w:p>
            <w:pPr>
              <w:spacing w:after="0"/>
            </w:pPr>
            <w:r/>
            <w:r>
              <w:rPr>
                <w:rFonts w:ascii="Aptos" w:hAnsi="Aptos"/>
                <w:b w:val="0"/>
                <w:color w:val="172B3A"/>
                <w:sz w:val="17"/>
              </w:rPr>
              <w:t>Assigned jobs, navigation, delivery confirmation, quantity delivered, GPS, offline-assisted sync.</w:t>
            </w:r>
          </w:p>
        </w:tc>
        <w:tc>
          <w:tcPr>
            <w:tcW w:type="dxa" w:w="2880"/>
            <w:vAlign w:val="center"/>
          </w:tcPr>
          <w:p>
            <w:pPr>
              <w:spacing w:after="0"/>
            </w:pPr>
            <w:r/>
            <w:r>
              <w:rPr>
                <w:rFonts w:ascii="Aptos" w:hAnsi="Aptos"/>
                <w:b w:val="0"/>
                <w:color w:val="172B3A"/>
                <w:sz w:val="17"/>
              </w:rPr>
              <w:t>Field staff / tanker operators</w:t>
            </w:r>
          </w:p>
        </w:tc>
      </w:tr>
      <w:tr>
        <w:tc>
          <w:tcPr>
            <w:tcW w:type="dxa" w:w="1512"/>
            <w:vAlign w:val="center"/>
          </w:tcPr>
          <w:p>
            <w:pPr>
              <w:spacing w:after="0"/>
            </w:pPr>
            <w:r/>
            <w:r>
              <w:rPr>
                <w:rFonts w:ascii="Aptos" w:hAnsi="Aptos"/>
                <w:b w:val="0"/>
                <w:color w:val="172B3A"/>
                <w:sz w:val="17"/>
              </w:rPr>
              <w:t>Data</w:t>
            </w:r>
          </w:p>
        </w:tc>
        <w:tc>
          <w:tcPr>
            <w:tcW w:type="dxa" w:w="5760"/>
            <w:vAlign w:val="center"/>
          </w:tcPr>
          <w:p>
            <w:pPr>
              <w:spacing w:after="0"/>
            </w:pPr>
            <w:r/>
            <w:r>
              <w:rPr>
                <w:rFonts w:ascii="Aptos" w:hAnsi="Aptos"/>
                <w:b w:val="0"/>
                <w:color w:val="172B3A"/>
                <w:sz w:val="17"/>
              </w:rPr>
              <w:t>Requests, complaints, population, vulnerability, previous deliveries, water availability, tanker positions.</w:t>
            </w:r>
          </w:p>
        </w:tc>
        <w:tc>
          <w:tcPr>
            <w:tcW w:type="dxa" w:w="2880"/>
            <w:vAlign w:val="center"/>
          </w:tcPr>
          <w:p>
            <w:pPr>
              <w:spacing w:after="0"/>
            </w:pPr>
            <w:r/>
            <w:r>
              <w:rPr>
                <w:rFonts w:ascii="Aptos" w:hAnsi="Aptos"/>
                <w:b w:val="0"/>
                <w:color w:val="172B3A"/>
                <w:sz w:val="17"/>
              </w:rPr>
              <w:t>System</w:t>
            </w:r>
          </w:p>
        </w:tc>
      </w:tr>
      <w:tr>
        <w:tc>
          <w:tcPr>
            <w:tcW w:type="dxa" w:w="1512"/>
            <w:vAlign w:val="center"/>
          </w:tcPr>
          <w:p>
            <w:pPr>
              <w:spacing w:after="0"/>
            </w:pPr>
            <w:r/>
            <w:r>
              <w:rPr>
                <w:rFonts w:ascii="Aptos" w:hAnsi="Aptos"/>
                <w:b w:val="0"/>
                <w:color w:val="172B3A"/>
                <w:sz w:val="17"/>
              </w:rPr>
              <w:t>Decision</w:t>
            </w:r>
          </w:p>
        </w:tc>
        <w:tc>
          <w:tcPr>
            <w:tcW w:type="dxa" w:w="5760"/>
            <w:vAlign w:val="center"/>
          </w:tcPr>
          <w:p>
            <w:pPr>
              <w:spacing w:after="0"/>
            </w:pPr>
            <w:r/>
            <w:r>
              <w:rPr>
                <w:rFonts w:ascii="Aptos" w:hAnsi="Aptos"/>
                <w:b w:val="0"/>
                <w:color w:val="172B3A"/>
                <w:sz w:val="17"/>
              </w:rPr>
              <w:t>Priority scoring, fairness controls, allocation, candidate tanker selection, route optimization.</w:t>
            </w:r>
          </w:p>
        </w:tc>
        <w:tc>
          <w:tcPr>
            <w:tcW w:type="dxa" w:w="2880"/>
            <w:vAlign w:val="center"/>
          </w:tcPr>
          <w:p>
            <w:pPr>
              <w:spacing w:after="0"/>
            </w:pPr>
            <w:r/>
            <w:r>
              <w:rPr>
                <w:rFonts w:ascii="Aptos" w:hAnsi="Aptos"/>
                <w:b w:val="0"/>
                <w:color w:val="172B3A"/>
                <w:sz w:val="17"/>
              </w:rPr>
              <w:t>Supervisors / municipal operators</w:t>
            </w:r>
          </w:p>
        </w:tc>
      </w:tr>
      <w:tr>
        <w:tc>
          <w:tcPr>
            <w:tcW w:type="dxa" w:w="1512"/>
            <w:vAlign w:val="center"/>
          </w:tcPr>
          <w:p>
            <w:pPr>
              <w:spacing w:after="0"/>
            </w:pPr>
            <w:r/>
            <w:r>
              <w:rPr>
                <w:rFonts w:ascii="Aptos" w:hAnsi="Aptos"/>
                <w:b w:val="0"/>
                <w:color w:val="172B3A"/>
                <w:sz w:val="17"/>
              </w:rPr>
              <w:t>Intelligence</w:t>
            </w:r>
          </w:p>
        </w:tc>
        <w:tc>
          <w:tcPr>
            <w:tcW w:type="dxa" w:w="5760"/>
            <w:vAlign w:val="center"/>
          </w:tcPr>
          <w:p>
            <w:pPr>
              <w:spacing w:after="0"/>
            </w:pPr>
            <w:r/>
            <w:r>
              <w:rPr>
                <w:rFonts w:ascii="Aptos" w:hAnsi="Aptos"/>
                <w:b w:val="0"/>
                <w:color w:val="172B3A"/>
                <w:sz w:val="17"/>
              </w:rPr>
              <w:t>Demand trends, complaint clustering, shortage indicators, underserved-area detection.</w:t>
            </w:r>
          </w:p>
        </w:tc>
        <w:tc>
          <w:tcPr>
            <w:tcW w:type="dxa" w:w="2880"/>
            <w:vAlign w:val="center"/>
          </w:tcPr>
          <w:p>
            <w:pPr>
              <w:spacing w:after="0"/>
            </w:pPr>
            <w:r/>
            <w:r>
              <w:rPr>
                <w:rFonts w:ascii="Aptos" w:hAnsi="Aptos"/>
                <w:b w:val="0"/>
                <w:color w:val="172B3A"/>
                <w:sz w:val="17"/>
              </w:rPr>
              <w:t>Supervisors / planners</w:t>
            </w:r>
          </w:p>
        </w:tc>
      </w:tr>
      <w:tr>
        <w:tc>
          <w:tcPr>
            <w:tcW w:type="dxa" w:w="1512"/>
            <w:vAlign w:val="center"/>
          </w:tcPr>
          <w:p>
            <w:pPr>
              <w:spacing w:after="0"/>
            </w:pPr>
            <w:r/>
            <w:r>
              <w:rPr>
                <w:rFonts w:ascii="Aptos" w:hAnsi="Aptos"/>
                <w:b w:val="0"/>
                <w:color w:val="172B3A"/>
                <w:sz w:val="17"/>
              </w:rPr>
              <w:t>Audit / transparency</w:t>
            </w:r>
          </w:p>
        </w:tc>
        <w:tc>
          <w:tcPr>
            <w:tcW w:type="dxa" w:w="5760"/>
            <w:vAlign w:val="center"/>
          </w:tcPr>
          <w:p>
            <w:pPr>
              <w:spacing w:after="0"/>
            </w:pPr>
            <w:r/>
            <w:r>
              <w:rPr>
                <w:rFonts w:ascii="Aptos" w:hAnsi="Aptos"/>
                <w:b w:val="0"/>
                <w:color w:val="172B3A"/>
                <w:sz w:val="17"/>
              </w:rPr>
              <w:t>Factor breakdown, decision history, overrides, allocation outcomes.</w:t>
            </w:r>
          </w:p>
        </w:tc>
        <w:tc>
          <w:tcPr>
            <w:tcW w:type="dxa" w:w="2880"/>
            <w:vAlign w:val="center"/>
          </w:tcPr>
          <w:p>
            <w:pPr>
              <w:spacing w:after="0"/>
            </w:pPr>
            <w:r/>
            <w:r>
              <w:rPr>
                <w:rFonts w:ascii="Aptos" w:hAnsi="Aptos"/>
                <w:b w:val="0"/>
                <w:color w:val="172B3A"/>
                <w:sz w:val="17"/>
              </w:rPr>
              <w:t>Authorities / auditors</w:t>
            </w:r>
          </w:p>
        </w:tc>
      </w:tr>
    </w:tbl>
    <w:p>
      <w:pPr>
        <w:spacing w:after="0"/>
      </w:pPr>
    </w:p>
    <w:p>
      <w:pPr>
        <w:pStyle w:val="Heading2"/>
      </w:pPr>
      <w:r>
        <w:t>6.2 End-to-end operational flow</w:t>
      </w:r>
    </w:p>
    <w:p>
      <w:pPr>
        <w:pStyle w:val="ListNumber"/>
        <w:spacing w:after="40"/>
      </w:pPr>
      <w:r>
        <w:t>Resident or field worker submits a request or complaint with location and basic service context.</w:t>
      </w:r>
    </w:p>
    <w:p>
      <w:pPr>
        <w:pStyle w:val="ListNumber"/>
        <w:spacing w:after="40"/>
      </w:pPr>
      <w:r>
        <w:t>The platform validates and links likely duplicate requests where appropriate.</w:t>
      </w:r>
    </w:p>
    <w:p>
      <w:pPr>
        <w:pStyle w:val="ListNumber"/>
        <w:spacing w:after="40"/>
      </w:pPr>
      <w:r>
        <w:t>Requests and complaints are aggregated into locality/ward-level demand and service signals.</w:t>
      </w:r>
    </w:p>
    <w:p>
      <w:pPr>
        <w:pStyle w:val="ListNumber"/>
        <w:spacing w:after="40"/>
      </w:pPr>
      <w:r>
        <w:t>The system calculates a transparent priority score from configured factors.</w:t>
      </w:r>
    </w:p>
    <w:p>
      <w:pPr>
        <w:pStyle w:val="ListNumber"/>
        <w:spacing w:after="40"/>
      </w:pPr>
      <w:r>
        <w:t>The allocation engine selects candidate communities subject to water and tanker constraints.</w:t>
      </w:r>
    </w:p>
    <w:p>
      <w:pPr>
        <w:pStyle w:val="ListNumber"/>
        <w:spacing w:after="40"/>
      </w:pPr>
      <w:r>
        <w:t>The route scheduler assigns feasible tanker trips while considering distance, capacity and time windows.</w:t>
      </w:r>
    </w:p>
    <w:p>
      <w:pPr>
        <w:pStyle w:val="ListNumber"/>
        <w:spacing w:after="40"/>
      </w:pPr>
      <w:r>
        <w:t>Field delivery is confirmed with quantity, timestamp and location evidence.</w:t>
      </w:r>
    </w:p>
    <w:p>
      <w:pPr>
        <w:pStyle w:val="ListNumber"/>
        <w:spacing w:after="40"/>
      </w:pPr>
      <w:r>
        <w:t>Actual delivery updates the historical service record and refreshes subsequent priorities.</w:t>
      </w:r>
    </w:p>
    <w:p>
      <w:pPr>
        <w:pStyle w:val="ListNumber"/>
        <w:spacing w:after="40"/>
      </w:pPr>
      <w:r>
        <w:t>Dashboard metrics compare outcomes against a baseline such as first-come-first-served allocation.</w:t>
      </w:r>
    </w:p>
    <w:p>
      <w:pPr>
        <w:pStyle w:val="Heading2"/>
      </w:pPr>
      <w:r>
        <w:t>6.3 Explainable priority model</w:t>
      </w:r>
    </w:p>
    <w:p>
      <w:r>
        <w:t>A prototype can implement a configurable weighted score:</w:t>
      </w:r>
    </w:p>
    <w:p>
      <w:pPr>
        <w:jc w:val="center"/>
      </w:pPr>
      <w:r>
        <w:rPr>
          <w:b/>
          <w:color w:val="17354F"/>
          <w:sz w:val="26"/>
        </w:rPr>
        <w:t>Priorityᵢ = wᵥVᵢ + wᵤUᵢ + wₚPᵢ + wₕHᵢ + w_dDᵢ</w:t>
      </w:r>
    </w:p>
    <w:p>
      <w:r>
        <w:t>Where V = vulnerability, U = unmet demand, P = population/need, H = historical service deficit, and D = operational distance factor. The exact weights should be configurable and tested rather than claimed as universally correct.</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17354F"/>
          </w:tcPr>
          <w:p>
            <w:pPr>
              <w:spacing w:after="0"/>
            </w:pPr>
            <w:r/>
            <w:r>
              <w:rPr>
                <w:rFonts w:ascii="Aptos" w:hAnsi="Aptos"/>
                <w:b/>
                <w:color w:val="FFFFFF"/>
                <w:sz w:val="18"/>
              </w:rPr>
              <w:t>Illustrative factor</w:t>
            </w:r>
          </w:p>
        </w:tc>
        <w:tc>
          <w:tcPr>
            <w:tcW w:type="dxa" w:w="1728"/>
            <w:vAlign w:val="center"/>
            <w:shd w:fill="17354F"/>
          </w:tcPr>
          <w:p>
            <w:pPr>
              <w:spacing w:after="0"/>
            </w:pPr>
            <w:r/>
            <w:r>
              <w:rPr>
                <w:rFonts w:ascii="Aptos" w:hAnsi="Aptos"/>
                <w:b/>
                <w:color w:val="FFFFFF"/>
                <w:sz w:val="18"/>
              </w:rPr>
              <w:t>Prototype weight</w:t>
            </w:r>
          </w:p>
        </w:tc>
        <w:tc>
          <w:tcPr>
            <w:tcW w:type="dxa" w:w="5328"/>
            <w:vAlign w:val="center"/>
            <w:shd w:fill="17354F"/>
          </w:tcPr>
          <w:p>
            <w:pPr>
              <w:spacing w:after="0"/>
            </w:pPr>
            <w:r/>
            <w:r>
              <w:rPr>
                <w:rFonts w:ascii="Aptos" w:hAnsi="Aptos"/>
                <w:b/>
                <w:color w:val="FFFFFF"/>
                <w:sz w:val="18"/>
              </w:rPr>
              <w:t>Reason</w:t>
            </w:r>
          </w:p>
        </w:tc>
      </w:tr>
      <w:tr>
        <w:tc>
          <w:tcPr>
            <w:tcW w:type="dxa" w:w="2880"/>
            <w:vAlign w:val="center"/>
          </w:tcPr>
          <w:p>
            <w:pPr>
              <w:spacing w:after="0"/>
            </w:pPr>
            <w:r/>
            <w:r>
              <w:rPr>
                <w:rFonts w:ascii="Aptos" w:hAnsi="Aptos"/>
                <w:b w:val="0"/>
                <w:color w:val="172B3A"/>
                <w:sz w:val="17"/>
              </w:rPr>
              <w:t>Vulnerability</w:t>
            </w:r>
          </w:p>
        </w:tc>
        <w:tc>
          <w:tcPr>
            <w:tcW w:type="dxa" w:w="1728"/>
            <w:vAlign w:val="center"/>
          </w:tcPr>
          <w:p>
            <w:pPr>
              <w:spacing w:after="0"/>
            </w:pPr>
            <w:r/>
            <w:r>
              <w:rPr>
                <w:rFonts w:ascii="Aptos" w:hAnsi="Aptos"/>
                <w:b w:val="0"/>
                <w:color w:val="172B3A"/>
                <w:sz w:val="17"/>
              </w:rPr>
              <w:t>30%</w:t>
            </w:r>
          </w:p>
        </w:tc>
        <w:tc>
          <w:tcPr>
            <w:tcW w:type="dxa" w:w="5328"/>
            <w:vAlign w:val="center"/>
          </w:tcPr>
          <w:p>
            <w:pPr>
              <w:spacing w:after="0"/>
            </w:pPr>
            <w:r/>
            <w:r>
              <w:rPr>
                <w:rFonts w:ascii="Aptos" w:hAnsi="Aptos"/>
                <w:b w:val="0"/>
                <w:color w:val="172B3A"/>
                <w:sz w:val="17"/>
              </w:rPr>
              <w:t>Prevents need from being inferred only from digital request volume.</w:t>
            </w:r>
          </w:p>
        </w:tc>
      </w:tr>
      <w:tr>
        <w:tc>
          <w:tcPr>
            <w:tcW w:type="dxa" w:w="2880"/>
            <w:vAlign w:val="center"/>
          </w:tcPr>
          <w:p>
            <w:pPr>
              <w:spacing w:after="0"/>
            </w:pPr>
            <w:r/>
            <w:r>
              <w:rPr>
                <w:rFonts w:ascii="Aptos" w:hAnsi="Aptos"/>
                <w:b w:val="0"/>
                <w:color w:val="172B3A"/>
                <w:sz w:val="17"/>
              </w:rPr>
              <w:t>Unmet demand</w:t>
            </w:r>
          </w:p>
        </w:tc>
        <w:tc>
          <w:tcPr>
            <w:tcW w:type="dxa" w:w="1728"/>
            <w:vAlign w:val="center"/>
          </w:tcPr>
          <w:p>
            <w:pPr>
              <w:spacing w:after="0"/>
            </w:pPr>
            <w:r/>
            <w:r>
              <w:rPr>
                <w:rFonts w:ascii="Aptos" w:hAnsi="Aptos"/>
                <w:b w:val="0"/>
                <w:color w:val="172B3A"/>
                <w:sz w:val="17"/>
              </w:rPr>
              <w:t>25%</w:t>
            </w:r>
          </w:p>
        </w:tc>
        <w:tc>
          <w:tcPr>
            <w:tcW w:type="dxa" w:w="5328"/>
            <w:vAlign w:val="center"/>
          </w:tcPr>
          <w:p>
            <w:pPr>
              <w:spacing w:after="0"/>
            </w:pPr>
            <w:r/>
            <w:r>
              <w:rPr>
                <w:rFonts w:ascii="Aptos" w:hAnsi="Aptos"/>
                <w:b w:val="0"/>
                <w:color w:val="172B3A"/>
                <w:sz w:val="17"/>
              </w:rPr>
              <w:t>Captures the current service gap.</w:t>
            </w:r>
          </w:p>
        </w:tc>
      </w:tr>
      <w:tr>
        <w:tc>
          <w:tcPr>
            <w:tcW w:type="dxa" w:w="2880"/>
            <w:vAlign w:val="center"/>
          </w:tcPr>
          <w:p>
            <w:pPr>
              <w:spacing w:after="0"/>
            </w:pPr>
            <w:r/>
            <w:r>
              <w:rPr>
                <w:rFonts w:ascii="Aptos" w:hAnsi="Aptos"/>
                <w:b w:val="0"/>
                <w:color w:val="172B3A"/>
                <w:sz w:val="17"/>
              </w:rPr>
              <w:t>Population/need</w:t>
            </w:r>
          </w:p>
        </w:tc>
        <w:tc>
          <w:tcPr>
            <w:tcW w:type="dxa" w:w="1728"/>
            <w:vAlign w:val="center"/>
          </w:tcPr>
          <w:p>
            <w:pPr>
              <w:spacing w:after="0"/>
            </w:pPr>
            <w:r/>
            <w:r>
              <w:rPr>
                <w:rFonts w:ascii="Aptos" w:hAnsi="Aptos"/>
                <w:b w:val="0"/>
                <w:color w:val="172B3A"/>
                <w:sz w:val="17"/>
              </w:rPr>
              <w:t>20%</w:t>
            </w:r>
          </w:p>
        </w:tc>
        <w:tc>
          <w:tcPr>
            <w:tcW w:type="dxa" w:w="5328"/>
            <w:vAlign w:val="center"/>
          </w:tcPr>
          <w:p>
            <w:pPr>
              <w:spacing w:after="0"/>
            </w:pPr>
            <w:r/>
            <w:r>
              <w:rPr>
                <w:rFonts w:ascii="Aptos" w:hAnsi="Aptos"/>
                <w:b w:val="0"/>
                <w:color w:val="172B3A"/>
                <w:sz w:val="17"/>
              </w:rPr>
              <w:t>Avoids treating a small locality and a large locality as equivalent.</w:t>
            </w:r>
          </w:p>
        </w:tc>
      </w:tr>
      <w:tr>
        <w:tc>
          <w:tcPr>
            <w:tcW w:type="dxa" w:w="2880"/>
            <w:vAlign w:val="center"/>
          </w:tcPr>
          <w:p>
            <w:pPr>
              <w:spacing w:after="0"/>
            </w:pPr>
            <w:r/>
            <w:r>
              <w:rPr>
                <w:rFonts w:ascii="Aptos" w:hAnsi="Aptos"/>
                <w:b w:val="0"/>
                <w:color w:val="172B3A"/>
                <w:sz w:val="17"/>
              </w:rPr>
              <w:t>Historical service deficit</w:t>
            </w:r>
          </w:p>
        </w:tc>
        <w:tc>
          <w:tcPr>
            <w:tcW w:type="dxa" w:w="1728"/>
            <w:vAlign w:val="center"/>
          </w:tcPr>
          <w:p>
            <w:pPr>
              <w:spacing w:after="0"/>
            </w:pPr>
            <w:r/>
            <w:r>
              <w:rPr>
                <w:rFonts w:ascii="Aptos" w:hAnsi="Aptos"/>
                <w:b w:val="0"/>
                <w:color w:val="172B3A"/>
                <w:sz w:val="17"/>
              </w:rPr>
              <w:t>15%</w:t>
            </w:r>
          </w:p>
        </w:tc>
        <w:tc>
          <w:tcPr>
            <w:tcW w:type="dxa" w:w="5328"/>
            <w:vAlign w:val="center"/>
          </w:tcPr>
          <w:p>
            <w:pPr>
              <w:spacing w:after="0"/>
            </w:pPr>
            <w:r/>
            <w:r>
              <w:rPr>
                <w:rFonts w:ascii="Aptos" w:hAnsi="Aptos"/>
                <w:b w:val="0"/>
                <w:color w:val="172B3A"/>
                <w:sz w:val="17"/>
              </w:rPr>
              <w:t>Reduces repeated service imbalance.</w:t>
            </w:r>
          </w:p>
        </w:tc>
      </w:tr>
      <w:tr>
        <w:tc>
          <w:tcPr>
            <w:tcW w:type="dxa" w:w="2880"/>
            <w:vAlign w:val="center"/>
          </w:tcPr>
          <w:p>
            <w:pPr>
              <w:spacing w:after="0"/>
            </w:pPr>
            <w:r/>
            <w:r>
              <w:rPr>
                <w:rFonts w:ascii="Aptos" w:hAnsi="Aptos"/>
                <w:b w:val="0"/>
                <w:color w:val="172B3A"/>
                <w:sz w:val="17"/>
              </w:rPr>
              <w:t>Distance / logistics</w:t>
            </w:r>
          </w:p>
        </w:tc>
        <w:tc>
          <w:tcPr>
            <w:tcW w:type="dxa" w:w="1728"/>
            <w:vAlign w:val="center"/>
          </w:tcPr>
          <w:p>
            <w:pPr>
              <w:spacing w:after="0"/>
            </w:pPr>
            <w:r/>
            <w:r>
              <w:rPr>
                <w:rFonts w:ascii="Aptos" w:hAnsi="Aptos"/>
                <w:b w:val="0"/>
                <w:color w:val="172B3A"/>
                <w:sz w:val="17"/>
              </w:rPr>
              <w:t>10%</w:t>
            </w:r>
          </w:p>
        </w:tc>
        <w:tc>
          <w:tcPr>
            <w:tcW w:type="dxa" w:w="5328"/>
            <w:vAlign w:val="center"/>
          </w:tcPr>
          <w:p>
            <w:pPr>
              <w:spacing w:after="0"/>
            </w:pPr>
            <w:r/>
            <w:r>
              <w:rPr>
                <w:rFonts w:ascii="Aptos" w:hAnsi="Aptos"/>
                <w:b w:val="0"/>
                <w:color w:val="172B3A"/>
                <w:sz w:val="17"/>
              </w:rPr>
              <w:t>Controls travel burden without overriding need.</w:t>
            </w:r>
          </w:p>
        </w:tc>
      </w:tr>
    </w:tbl>
    <w:p>
      <w:pPr>
        <w:spacing w:after="0"/>
      </w:pPr>
    </w:p>
    <w:p>
      <w:r>
        <w:t>These weights are a prototype design assumption, not a published universal formula.</w:t>
      </w:r>
    </w:p>
    <w:p>
      <w:pPr>
        <w:pStyle w:val="Heading2"/>
      </w:pPr>
      <w:r>
        <w:t>6.4 Fair allocation objective</w:t>
      </w:r>
    </w:p>
    <w:p>
      <w:r>
        <w:t>At allocation time, the system can maximize need satisfaction and equity while penalizing avoidable travel and repeated allocation imbalance. Conceptually:</w:t>
      </w:r>
    </w:p>
    <w:tbl>
      <w:tblPr>
        <w:tblW w:type="auto" w:w="0"/>
        <w:jc w:val="center"/>
        <w:tblLook w:firstColumn="1" w:firstRow="1" w:lastColumn="0" w:lastRow="0" w:noHBand="0" w:noVBand="1" w:val="04A0"/>
      </w:tblPr>
      <w:tblGrid>
        <w:gridCol w:w="10166"/>
      </w:tblGrid>
      <w:tr>
        <w:tc>
          <w:tcPr>
            <w:tcW w:type="dxa" w:w="10166"/>
            <w:shd w:fill="EAF5FA"/>
          </w:tcPr>
          <w:p>
            <w:pPr>
              <w:spacing w:after="60"/>
            </w:pPr>
            <w:r>
              <w:rPr>
                <w:b/>
                <w:color w:val="168CB8"/>
                <w:sz w:val="18"/>
              </w:rPr>
              <w:t>OPTIMIZATION OBJECTIVE</w:t>
            </w:r>
          </w:p>
          <w:p>
            <w:pPr>
              <w:spacing w:after="0"/>
            </w:pPr>
            <w:r>
              <w:rPr>
                <w:color w:val="172B3A"/>
                <w:sz w:val="20"/>
              </w:rPr>
              <w:t>Maximize: satisfied need + equity benefit − travel cost − unserved-demand penalty, subject to available water, tanker capacity, delivery time windows and operational constraints.</w:t>
            </w:r>
          </w:p>
        </w:tc>
      </w:tr>
    </w:tbl>
    <w:p>
      <w:pPr>
        <w:pStyle w:val="Heading1"/>
      </w:pPr>
      <w:r>
        <w:t>7. Technical &amp; Architectural Approach</w:t>
      </w:r>
    </w:p>
    <w:p>
      <w:pPr>
        <w:pStyle w:val="Heading2"/>
      </w:pPr>
      <w:r>
        <w:t>7.1 Recommended architecture</w:t>
      </w:r>
    </w:p>
    <w:p>
      <w:r>
        <w:t>The prototype should be implemented as a modular web/mobile decision-support platform. A service-oriented backend keeps the allocation engine separable from the citizen UI and allows later integration with municipal systems.</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7354F"/>
          </w:tcPr>
          <w:p>
            <w:pPr>
              <w:spacing w:after="0"/>
            </w:pPr>
            <w:r/>
            <w:r>
              <w:rPr>
                <w:rFonts w:ascii="Aptos" w:hAnsi="Aptos"/>
                <w:b/>
                <w:color w:val="FFFFFF"/>
                <w:sz w:val="18"/>
              </w:rPr>
              <w:t>Component</w:t>
            </w:r>
          </w:p>
        </w:tc>
        <w:tc>
          <w:tcPr>
            <w:tcW w:type="dxa" w:w="2232"/>
            <w:vAlign w:val="center"/>
            <w:shd w:fill="17354F"/>
          </w:tcPr>
          <w:p>
            <w:pPr>
              <w:spacing w:after="0"/>
            </w:pPr>
            <w:r/>
            <w:r>
              <w:rPr>
                <w:rFonts w:ascii="Aptos" w:hAnsi="Aptos"/>
                <w:b/>
                <w:color w:val="FFFFFF"/>
                <w:sz w:val="18"/>
              </w:rPr>
              <w:t>Recommended choice</w:t>
            </w:r>
          </w:p>
        </w:tc>
        <w:tc>
          <w:tcPr>
            <w:tcW w:type="dxa" w:w="5616"/>
            <w:vAlign w:val="center"/>
            <w:shd w:fill="17354F"/>
          </w:tcPr>
          <w:p>
            <w:pPr>
              <w:spacing w:after="0"/>
            </w:pPr>
            <w:r/>
            <w:r>
              <w:rPr>
                <w:rFonts w:ascii="Aptos" w:hAnsi="Aptos"/>
                <w:b/>
                <w:color w:val="FFFFFF"/>
                <w:sz w:val="18"/>
              </w:rPr>
              <w:t>Purpose</w:t>
            </w:r>
          </w:p>
        </w:tc>
      </w:tr>
      <w:tr>
        <w:tc>
          <w:tcPr>
            <w:tcW w:type="dxa" w:w="2088"/>
            <w:vAlign w:val="center"/>
          </w:tcPr>
          <w:p>
            <w:pPr>
              <w:spacing w:after="0"/>
            </w:pPr>
            <w:r/>
            <w:r>
              <w:rPr>
                <w:rFonts w:ascii="Aptos" w:hAnsi="Aptos"/>
                <w:b w:val="0"/>
                <w:color w:val="172B3A"/>
                <w:sz w:val="17"/>
              </w:rPr>
              <w:t>Citizen / field UI</w:t>
            </w:r>
          </w:p>
        </w:tc>
        <w:tc>
          <w:tcPr>
            <w:tcW w:type="dxa" w:w="2232"/>
            <w:vAlign w:val="center"/>
          </w:tcPr>
          <w:p>
            <w:pPr>
              <w:spacing w:after="0"/>
            </w:pPr>
            <w:r/>
            <w:r>
              <w:rPr>
                <w:rFonts w:ascii="Aptos" w:hAnsi="Aptos"/>
                <w:b w:val="0"/>
                <w:color w:val="172B3A"/>
                <w:sz w:val="17"/>
              </w:rPr>
              <w:t>Angular / Ionic</w:t>
            </w:r>
          </w:p>
        </w:tc>
        <w:tc>
          <w:tcPr>
            <w:tcW w:type="dxa" w:w="5616"/>
            <w:vAlign w:val="center"/>
          </w:tcPr>
          <w:p>
            <w:pPr>
              <w:spacing w:after="0"/>
            </w:pPr>
            <w:r/>
            <w:r>
              <w:rPr>
                <w:rFonts w:ascii="Aptos" w:hAnsi="Aptos"/>
                <w:b w:val="0"/>
                <w:color w:val="172B3A"/>
                <w:sz w:val="17"/>
              </w:rPr>
              <w:t>Responsive web/mobile interface, multilingual forms and offline-assisted flows.</w:t>
            </w:r>
          </w:p>
        </w:tc>
      </w:tr>
      <w:tr>
        <w:tc>
          <w:tcPr>
            <w:tcW w:type="dxa" w:w="2088"/>
            <w:vAlign w:val="center"/>
          </w:tcPr>
          <w:p>
            <w:pPr>
              <w:spacing w:after="0"/>
            </w:pPr>
            <w:r/>
            <w:r>
              <w:rPr>
                <w:rFonts w:ascii="Aptos" w:hAnsi="Aptos"/>
                <w:b w:val="0"/>
                <w:color w:val="172B3A"/>
                <w:sz w:val="17"/>
              </w:rPr>
              <w:t>Backend API</w:t>
            </w:r>
          </w:p>
        </w:tc>
        <w:tc>
          <w:tcPr>
            <w:tcW w:type="dxa" w:w="2232"/>
            <w:vAlign w:val="center"/>
          </w:tcPr>
          <w:p>
            <w:pPr>
              <w:spacing w:after="0"/>
            </w:pPr>
            <w:r/>
            <w:r>
              <w:rPr>
                <w:rFonts w:ascii="Aptos" w:hAnsi="Aptos"/>
                <w:b w:val="0"/>
                <w:color w:val="172B3A"/>
                <w:sz w:val="17"/>
              </w:rPr>
              <w:t>Spring Boot</w:t>
            </w:r>
          </w:p>
        </w:tc>
        <w:tc>
          <w:tcPr>
            <w:tcW w:type="dxa" w:w="5616"/>
            <w:vAlign w:val="center"/>
          </w:tcPr>
          <w:p>
            <w:pPr>
              <w:spacing w:after="0"/>
            </w:pPr>
            <w:r/>
            <w:r>
              <w:rPr>
                <w:rFonts w:ascii="Aptos" w:hAnsi="Aptos"/>
                <w:b w:val="0"/>
                <w:color w:val="172B3A"/>
                <w:sz w:val="17"/>
              </w:rPr>
              <w:t>Authentication, workflows, requests, complaints, allocation APIs, audit events.</w:t>
            </w:r>
          </w:p>
        </w:tc>
      </w:tr>
      <w:tr>
        <w:tc>
          <w:tcPr>
            <w:tcW w:type="dxa" w:w="2088"/>
            <w:vAlign w:val="center"/>
          </w:tcPr>
          <w:p>
            <w:pPr>
              <w:spacing w:after="0"/>
            </w:pPr>
            <w:r/>
            <w:r>
              <w:rPr>
                <w:rFonts w:ascii="Aptos" w:hAnsi="Aptos"/>
                <w:b w:val="0"/>
                <w:color w:val="172B3A"/>
                <w:sz w:val="17"/>
              </w:rPr>
              <w:t>Database</w:t>
            </w:r>
          </w:p>
        </w:tc>
        <w:tc>
          <w:tcPr>
            <w:tcW w:type="dxa" w:w="2232"/>
            <w:vAlign w:val="center"/>
          </w:tcPr>
          <w:p>
            <w:pPr>
              <w:spacing w:after="0"/>
            </w:pPr>
            <w:r/>
            <w:r>
              <w:rPr>
                <w:rFonts w:ascii="Aptos" w:hAnsi="Aptos"/>
                <w:b w:val="0"/>
                <w:color w:val="172B3A"/>
                <w:sz w:val="17"/>
              </w:rPr>
              <w:t>PostgreSQL</w:t>
            </w:r>
          </w:p>
        </w:tc>
        <w:tc>
          <w:tcPr>
            <w:tcW w:type="dxa" w:w="5616"/>
            <w:vAlign w:val="center"/>
          </w:tcPr>
          <w:p>
            <w:pPr>
              <w:spacing w:after="0"/>
            </w:pPr>
            <w:r/>
            <w:r>
              <w:rPr>
                <w:rFonts w:ascii="Aptos" w:hAnsi="Aptos"/>
                <w:b w:val="0"/>
                <w:color w:val="172B3A"/>
                <w:sz w:val="17"/>
              </w:rPr>
              <w:t>Transactional data and role-based access.</w:t>
            </w:r>
          </w:p>
        </w:tc>
      </w:tr>
      <w:tr>
        <w:tc>
          <w:tcPr>
            <w:tcW w:type="dxa" w:w="2088"/>
            <w:vAlign w:val="center"/>
          </w:tcPr>
          <w:p>
            <w:pPr>
              <w:spacing w:after="0"/>
            </w:pPr>
            <w:r/>
            <w:r>
              <w:rPr>
                <w:rFonts w:ascii="Aptos" w:hAnsi="Aptos"/>
                <w:b w:val="0"/>
                <w:color w:val="172B3A"/>
                <w:sz w:val="17"/>
              </w:rPr>
              <w:t>Geospatial</w:t>
            </w:r>
          </w:p>
        </w:tc>
        <w:tc>
          <w:tcPr>
            <w:tcW w:type="dxa" w:w="2232"/>
            <w:vAlign w:val="center"/>
          </w:tcPr>
          <w:p>
            <w:pPr>
              <w:spacing w:after="0"/>
            </w:pPr>
            <w:r/>
            <w:r>
              <w:rPr>
                <w:rFonts w:ascii="Aptos" w:hAnsi="Aptos"/>
                <w:b w:val="0"/>
                <w:color w:val="172B3A"/>
                <w:sz w:val="17"/>
              </w:rPr>
              <w:t>PostGIS</w:t>
            </w:r>
          </w:p>
        </w:tc>
        <w:tc>
          <w:tcPr>
            <w:tcW w:type="dxa" w:w="5616"/>
            <w:vAlign w:val="center"/>
          </w:tcPr>
          <w:p>
            <w:pPr>
              <w:spacing w:after="0"/>
            </w:pPr>
            <w:r/>
            <w:r>
              <w:rPr>
                <w:rFonts w:ascii="Aptos" w:hAnsi="Aptos"/>
                <w:b w:val="0"/>
                <w:color w:val="172B3A"/>
                <w:sz w:val="17"/>
              </w:rPr>
              <w:t>Wards, neighbourhoods, complaints, routes, service coverage and spatial queries.</w:t>
            </w:r>
          </w:p>
        </w:tc>
      </w:tr>
      <w:tr>
        <w:tc>
          <w:tcPr>
            <w:tcW w:type="dxa" w:w="2088"/>
            <w:vAlign w:val="center"/>
          </w:tcPr>
          <w:p>
            <w:pPr>
              <w:spacing w:after="0"/>
            </w:pPr>
            <w:r/>
            <w:r>
              <w:rPr>
                <w:rFonts w:ascii="Aptos" w:hAnsi="Aptos"/>
                <w:b w:val="0"/>
                <w:color w:val="172B3A"/>
                <w:sz w:val="17"/>
              </w:rPr>
              <w:t>Analytics / optimization</w:t>
            </w:r>
          </w:p>
        </w:tc>
        <w:tc>
          <w:tcPr>
            <w:tcW w:type="dxa" w:w="2232"/>
            <w:vAlign w:val="center"/>
          </w:tcPr>
          <w:p>
            <w:pPr>
              <w:spacing w:after="0"/>
            </w:pPr>
            <w:r/>
            <w:r>
              <w:rPr>
                <w:rFonts w:ascii="Aptos" w:hAnsi="Aptos"/>
                <w:b w:val="0"/>
                <w:color w:val="172B3A"/>
                <w:sz w:val="17"/>
              </w:rPr>
              <w:t>Python</w:t>
            </w:r>
          </w:p>
        </w:tc>
        <w:tc>
          <w:tcPr>
            <w:tcW w:type="dxa" w:w="5616"/>
            <w:vAlign w:val="center"/>
          </w:tcPr>
          <w:p>
            <w:pPr>
              <w:spacing w:after="0"/>
            </w:pPr>
            <w:r/>
            <w:r>
              <w:rPr>
                <w:rFonts w:ascii="Aptos" w:hAnsi="Aptos"/>
                <w:b w:val="0"/>
                <w:color w:val="172B3A"/>
                <w:sz w:val="17"/>
              </w:rPr>
              <w:t>Priority scoring, forecasting, clustering and optimization experiments.</w:t>
            </w:r>
          </w:p>
        </w:tc>
      </w:tr>
      <w:tr>
        <w:tc>
          <w:tcPr>
            <w:tcW w:type="dxa" w:w="2088"/>
            <w:vAlign w:val="center"/>
          </w:tcPr>
          <w:p>
            <w:pPr>
              <w:spacing w:after="0"/>
            </w:pPr>
            <w:r/>
            <w:r>
              <w:rPr>
                <w:rFonts w:ascii="Aptos" w:hAnsi="Aptos"/>
                <w:b w:val="0"/>
                <w:color w:val="172B3A"/>
                <w:sz w:val="17"/>
              </w:rPr>
              <w:t>Maps</w:t>
            </w:r>
          </w:p>
        </w:tc>
        <w:tc>
          <w:tcPr>
            <w:tcW w:type="dxa" w:w="2232"/>
            <w:vAlign w:val="center"/>
          </w:tcPr>
          <w:p>
            <w:pPr>
              <w:spacing w:after="0"/>
            </w:pPr>
            <w:r/>
            <w:r>
              <w:rPr>
                <w:rFonts w:ascii="Aptos" w:hAnsi="Aptos"/>
                <w:b w:val="0"/>
                <w:color w:val="172B3A"/>
                <w:sz w:val="17"/>
              </w:rPr>
              <w:t>OpenStreetMap + routing engine</w:t>
            </w:r>
          </w:p>
        </w:tc>
        <w:tc>
          <w:tcPr>
            <w:tcW w:type="dxa" w:w="5616"/>
            <w:vAlign w:val="center"/>
          </w:tcPr>
          <w:p>
            <w:pPr>
              <w:spacing w:after="0"/>
            </w:pPr>
            <w:r/>
            <w:r>
              <w:rPr>
                <w:rFonts w:ascii="Aptos" w:hAnsi="Aptos"/>
                <w:b w:val="0"/>
                <w:color w:val="172B3A"/>
                <w:sz w:val="17"/>
              </w:rPr>
              <w:t>Geographic visualization and route estimation.</w:t>
            </w:r>
          </w:p>
        </w:tc>
      </w:tr>
      <w:tr>
        <w:tc>
          <w:tcPr>
            <w:tcW w:type="dxa" w:w="2088"/>
            <w:vAlign w:val="center"/>
          </w:tcPr>
          <w:p>
            <w:pPr>
              <w:spacing w:after="0"/>
            </w:pPr>
            <w:r/>
            <w:r>
              <w:rPr>
                <w:rFonts w:ascii="Aptos" w:hAnsi="Aptos"/>
                <w:b w:val="0"/>
                <w:color w:val="172B3A"/>
                <w:sz w:val="17"/>
              </w:rPr>
              <w:t>Real-time</w:t>
            </w:r>
          </w:p>
        </w:tc>
        <w:tc>
          <w:tcPr>
            <w:tcW w:type="dxa" w:w="2232"/>
            <w:vAlign w:val="center"/>
          </w:tcPr>
          <w:p>
            <w:pPr>
              <w:spacing w:after="0"/>
            </w:pPr>
            <w:r/>
            <w:r>
              <w:rPr>
                <w:rFonts w:ascii="Aptos" w:hAnsi="Aptos"/>
                <w:b w:val="0"/>
                <w:color w:val="172B3A"/>
                <w:sz w:val="17"/>
              </w:rPr>
              <w:t>WebSocket / notifications</w:t>
            </w:r>
          </w:p>
        </w:tc>
        <w:tc>
          <w:tcPr>
            <w:tcW w:type="dxa" w:w="5616"/>
            <w:vAlign w:val="center"/>
          </w:tcPr>
          <w:p>
            <w:pPr>
              <w:spacing w:after="0"/>
            </w:pPr>
            <w:r/>
            <w:r>
              <w:rPr>
                <w:rFonts w:ascii="Aptos" w:hAnsi="Aptos"/>
                <w:b w:val="0"/>
                <w:color w:val="172B3A"/>
                <w:sz w:val="17"/>
              </w:rPr>
              <w:t>Tanker status, request updates and operational alerts.</w:t>
            </w:r>
          </w:p>
        </w:tc>
      </w:tr>
      <w:tr>
        <w:tc>
          <w:tcPr>
            <w:tcW w:type="dxa" w:w="2088"/>
            <w:vAlign w:val="center"/>
          </w:tcPr>
          <w:p>
            <w:pPr>
              <w:spacing w:after="0"/>
            </w:pPr>
            <w:r/>
            <w:r>
              <w:rPr>
                <w:rFonts w:ascii="Aptos" w:hAnsi="Aptos"/>
                <w:b w:val="0"/>
                <w:color w:val="172B3A"/>
                <w:sz w:val="17"/>
              </w:rPr>
              <w:t>Offline sync</w:t>
            </w:r>
          </w:p>
        </w:tc>
        <w:tc>
          <w:tcPr>
            <w:tcW w:type="dxa" w:w="2232"/>
            <w:vAlign w:val="center"/>
          </w:tcPr>
          <w:p>
            <w:pPr>
              <w:spacing w:after="0"/>
            </w:pPr>
            <w:r/>
            <w:r>
              <w:rPr>
                <w:rFonts w:ascii="Aptos" w:hAnsi="Aptos"/>
                <w:b w:val="0"/>
                <w:color w:val="172B3A"/>
                <w:sz w:val="17"/>
              </w:rPr>
              <w:t>IndexedDB / SQLite-style local store</w:t>
            </w:r>
          </w:p>
        </w:tc>
        <w:tc>
          <w:tcPr>
            <w:tcW w:type="dxa" w:w="5616"/>
            <w:vAlign w:val="center"/>
          </w:tcPr>
          <w:p>
            <w:pPr>
              <w:spacing w:after="0"/>
            </w:pPr>
            <w:r/>
            <w:r>
              <w:rPr>
                <w:rFonts w:ascii="Aptos" w:hAnsi="Aptos"/>
                <w:b w:val="0"/>
                <w:color w:val="172B3A"/>
                <w:sz w:val="17"/>
              </w:rPr>
              <w:t>Store field requests locally and synchronize when connectivity returns.</w:t>
            </w:r>
          </w:p>
        </w:tc>
      </w:tr>
    </w:tbl>
    <w:p>
      <w:pPr>
        <w:spacing w:after="0"/>
      </w:pPr>
    </w:p>
    <w:p>
      <w:pPr>
        <w:pStyle w:val="Heading2"/>
      </w:pPr>
      <w:r>
        <w:t>7.2 Logical architecture</w:t>
      </w:r>
    </w:p>
    <w:p>
      <w:pPr>
        <w:jc w:val="center"/>
      </w:pPr>
      <w:r>
        <w:rPr>
          <w:rFonts w:ascii="Aptos Mono" w:hAnsi="Aptos Mono"/>
          <w:color w:val="17354F"/>
          <w:sz w:val="20"/>
        </w:rPr>
        <w:t>Citizen / Field App</w:t>
        <w:br/>
        <w:t>↓</w:t>
        <w:br/>
        <w:t>Requests + Complaints + GPS</w:t>
        <w:br/>
        <w:t>↓</w:t>
        <w:br/>
        <w:t>API / Validation / Identity</w:t>
        <w:br/>
        <w:t>↓</w:t>
        <w:br/>
        <w:t>PostgreSQL + PostGIS</w:t>
        <w:br/>
        <w:t>↓</w:t>
        <w:br/>
        <w:t>Demand + Vulnerability + Historical Service</w:t>
        <w:br/>
        <w:t>↓</w:t>
        <w:br/>
        <w:t>Priority &amp; Fairness Engine</w:t>
        <w:br/>
        <w:t>↓</w:t>
        <w:br/>
        <w:t>Allocation Optimizer</w:t>
        <w:br/>
        <w:t>↓</w:t>
        <w:br/>
        <w:t>Tanker Scheduling + Routing</w:t>
        <w:br/>
        <w:t>↓</w:t>
        <w:br/>
        <w:t>Delivery Confirmation</w:t>
        <w:br/>
        <w:t>↓</w:t>
        <w:br/>
        <w:t>Equity / Impact Analytics</w:t>
      </w:r>
    </w:p>
    <w:p>
      <w:pPr>
        <w:pStyle w:val="Heading2"/>
      </w:pPr>
      <w:r>
        <w:t>7.3 Offline-assisted architecture</w:t>
      </w:r>
    </w:p>
    <w:p>
      <w:pPr>
        <w:pStyle w:val="ListNumber"/>
        <w:spacing w:after="40"/>
      </w:pPr>
      <w:r>
        <w:t>Write request/complaint locally first.</w:t>
      </w:r>
    </w:p>
    <w:p>
      <w:pPr>
        <w:pStyle w:val="ListNumber"/>
        <w:spacing w:after="40"/>
      </w:pPr>
      <w:r>
        <w:t>Assign a local event identifier and capture timestamp/location.</w:t>
      </w:r>
    </w:p>
    <w:p>
      <w:pPr>
        <w:pStyle w:val="ListNumber"/>
        <w:spacing w:after="40"/>
      </w:pPr>
      <w:r>
        <w:t>Place event in a sync queue.</w:t>
      </w:r>
    </w:p>
    <w:p>
      <w:pPr>
        <w:pStyle w:val="ListNumber"/>
        <w:spacing w:after="40"/>
      </w:pPr>
      <w:r>
        <w:t>When connectivity returns, synchronize with backend.</w:t>
      </w:r>
    </w:p>
    <w:p>
      <w:pPr>
        <w:pStyle w:val="ListNumber"/>
        <w:spacing w:after="40"/>
      </w:pPr>
      <w:r>
        <w:t>Resolve conflicts using explicit field-level rules.</w:t>
      </w:r>
    </w:p>
    <w:p>
      <w:pPr>
        <w:pStyle w:val="ListNumber"/>
        <w:spacing w:after="40"/>
      </w:pPr>
      <w:r>
        <w:t>Return server acknowledgement and mark local event as synchronized.</w:t>
      </w:r>
    </w:p>
    <w:p>
      <w:r>
        <w:t>The offline requirement is operationally important: the citizen/field workflow should degrade gracefully rather than failing when connectivity is unavailable.</w:t>
      </w:r>
    </w:p>
    <w:p>
      <w:pPr>
        <w:pStyle w:val="Heading2"/>
      </w:pPr>
      <w:r>
        <w:t>7.4 GPS verification and privacy</w:t>
      </w:r>
    </w:p>
    <w:p>
      <w:r>
        <w:t>GPS should support visit/delivery verification rather than continuous employee surveillance. A practical verification event can include start location, completion location, timestamp and delivery record. Public dashboards should use aggregation wherever individual household locations are not operationally necessary.</w:t>
      </w:r>
    </w:p>
    <w:p>
      <w:pPr>
        <w:pStyle w:val="Heading2"/>
      </w:pPr>
      <w:r>
        <w:t>7.5 Role-based access and auditability</w:t>
      </w:r>
    </w:p>
    <w:p>
      <w:pPr>
        <w:pStyle w:val="ListBullet"/>
        <w:spacing w:after="40"/>
        <w:ind w:left="317"/>
      </w:pPr>
      <w:r>
        <w:t>Citizen: own requests/complaints and public locality status.</w:t>
      </w:r>
    </w:p>
    <w:p>
      <w:pPr>
        <w:pStyle w:val="ListBullet"/>
        <w:spacing w:after="40"/>
        <w:ind w:left="317"/>
      </w:pPr>
      <w:r>
        <w:t>Field operator: assigned jobs and operational location data.</w:t>
      </w:r>
    </w:p>
    <w:p>
      <w:pPr>
        <w:pStyle w:val="ListBullet"/>
        <w:spacing w:after="40"/>
        <w:ind w:left="317"/>
      </w:pPr>
      <w:r>
        <w:t>Supervisor: allocation queues, routes, community analytics and overrides.</w:t>
      </w:r>
    </w:p>
    <w:p>
      <w:pPr>
        <w:pStyle w:val="ListBullet"/>
        <w:spacing w:after="40"/>
        <w:ind w:left="317"/>
      </w:pPr>
      <w:r>
        <w:t>Administrator: configuration, user management and audit.</w:t>
      </w:r>
    </w:p>
    <w:p>
      <w:pPr>
        <w:pStyle w:val="ListBullet"/>
        <w:spacing w:after="40"/>
        <w:ind w:left="317"/>
      </w:pPr>
      <w:r>
        <w:t>Auditor: read-only decision history and allocation explanations.</w:t>
      </w:r>
    </w:p>
    <w:p>
      <w:r>
        <w:br w:type="page"/>
      </w:r>
    </w:p>
    <w:p>
      <w:pPr>
        <w:pStyle w:val="Heading1"/>
      </w:pPr>
      <w:r>
        <w:t>8. Feasibility &amp; Viability Assessment</w:t>
      </w:r>
    </w:p>
    <w:p>
      <w:pPr>
        <w:pStyle w:val="Heading2"/>
      </w:pPr>
      <w:r>
        <w:t>8.1 Technical feasibility</w:t>
      </w:r>
    </w:p>
    <w:p>
      <w:r>
        <w:t>High. The core platform uses mature software components: relational databases, GIS extensions, mobile/web forms, route engines and optimization libraries. The published tanker-optimization literature further demonstrates that the underlying operational problem can be modeled computationally. [7][21]</w:t>
      </w:r>
    </w:p>
    <w:p>
      <w:pPr>
        <w:pStyle w:val="Heading2"/>
      </w:pPr>
      <w:r>
        <w:t>8.2 Data feasibility</w:t>
      </w:r>
    </w:p>
    <w:p>
      <w:r>
        <w:t>High for a hackathon prototype; medium for real deployment. The PS explicitly permits historical or synthetic data. A realistic prototype dataset can contain request timestamps, locality, population, vulnerability score, water requested, water delivered, prior delivery, complaint type, coordinates and tanker availability.</w:t>
      </w:r>
    </w:p>
    <w:tbl>
      <w:tblPr>
        <w:tblW w:type="auto" w:w="0"/>
        <w:jc w:val="center"/>
        <w:tblLook w:firstColumn="1" w:firstRow="1" w:lastColumn="0" w:lastRow="0" w:noHBand="0" w:noVBand="1" w:val="04A0"/>
      </w:tblPr>
      <w:tblGrid>
        <w:gridCol w:w="10166"/>
      </w:tblGrid>
      <w:tr>
        <w:tc>
          <w:tcPr>
            <w:tcW w:type="dxa" w:w="10166"/>
            <w:shd w:fill="FFF5E8"/>
          </w:tcPr>
          <w:p>
            <w:pPr>
              <w:spacing w:after="60"/>
            </w:pPr>
            <w:r>
              <w:rPr>
                <w:b/>
                <w:color w:val="E17F42"/>
                <w:sz w:val="18"/>
              </w:rPr>
              <w:t>DATA INTEGRITY RULE</w:t>
            </w:r>
          </w:p>
          <w:p>
            <w:pPr>
              <w:spacing w:after="0"/>
            </w:pPr>
            <w:r>
              <w:rPr>
                <w:color w:val="172B3A"/>
                <w:sz w:val="20"/>
              </w:rPr>
              <w:t>Prototype data should be clearly labeled synthetic where applicable. Real-world deployment requires municipal data-sharing agreements, validation and governance.</w:t>
            </w:r>
          </w:p>
        </w:tc>
      </w:tr>
    </w:tbl>
    <w:p>
      <w:pPr>
        <w:pStyle w:val="Heading2"/>
      </w:pPr>
      <w:r>
        <w:t>8.3 Economic feasibility</w:t>
      </w:r>
    </w:p>
    <w:p>
      <w:r>
        <w:t>High for an MVP because no specialized hardware is required. The prototype can run on standard cloud infrastructure and use open mapping/routing services subject to their current terms. The economic case is not 'software creates water'; it is that better allocation can reduce avoidable travel, duplicate work and inequitable repeat service.</w:t>
      </w:r>
    </w:p>
    <w:p>
      <w:r>
        <w:t>At the system level, the World Bank describes India's urban water investment challenge as enormous, reinforcing that software should be positioned as a governance/efficiency layer complementary to physical infrastructure. [1]</w:t>
      </w:r>
    </w:p>
    <w:p>
      <w:pPr>
        <w:pStyle w:val="Heading2"/>
      </w:pPr>
      <w:r>
        <w:t>8.4 Operational feasibility</w:t>
      </w:r>
    </w:p>
    <w:p>
      <w:pPr>
        <w:pStyle w:val="ListBullet"/>
        <w:spacing w:after="40"/>
        <w:ind w:left="317"/>
      </w:pPr>
      <w:r>
        <w:t>Can be piloted at ward scale before city-wide deployment.</w:t>
      </w:r>
    </w:p>
    <w:p>
      <w:pPr>
        <w:pStyle w:val="ListBullet"/>
        <w:spacing w:after="40"/>
        <w:ind w:left="317"/>
      </w:pPr>
      <w:r>
        <w:t>Can coexist with existing municipal tanker fleets and request systems.</w:t>
      </w:r>
    </w:p>
    <w:p>
      <w:pPr>
        <w:pStyle w:val="ListBullet"/>
        <w:spacing w:after="40"/>
        <w:ind w:left="317"/>
      </w:pPr>
      <w:r>
        <w:t>Allows human supervisors to override algorithmic recommendations.</w:t>
      </w:r>
    </w:p>
    <w:p>
      <w:pPr>
        <w:pStyle w:val="ListBullet"/>
        <w:spacing w:after="40"/>
        <w:ind w:left="317"/>
      </w:pPr>
      <w:r>
        <w:t>Creates a full audit trail so allocation disputes can be reviewed.</w:t>
      </w:r>
    </w:p>
    <w:p>
      <w:pPr>
        <w:pStyle w:val="ListBullet"/>
        <w:spacing w:after="40"/>
        <w:ind w:left="317"/>
      </w:pPr>
      <w:r>
        <w:t>Supports phased adoption: requests → dashboard → allocation → routing → analytics.</w:t>
      </w:r>
    </w:p>
    <w:p>
      <w:pPr>
        <w:pStyle w:val="Heading2"/>
      </w:pPr>
      <w:r>
        <w:t>8.5 Social feasibility</w:t>
      </w:r>
    </w:p>
    <w:p>
      <w:r>
        <w:t>Moderate-to-high if accessibility is designed in from the start. UNICEF evidence shows that water-collection burdens are socially unequal, while urban informal settlements can be especially vulnerable. [9][11] The platform should therefore include simple forms and an assisted channel rather than assume all users can navigate a complex smartphone application.</w:t>
      </w:r>
    </w:p>
    <w:p>
      <w:pPr>
        <w:pStyle w:val="Heading2"/>
      </w:pPr>
      <w:r>
        <w:t>8.6 Scale feasibility</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7354F"/>
          </w:tcPr>
          <w:p>
            <w:pPr>
              <w:spacing w:after="0"/>
            </w:pPr>
            <w:r/>
            <w:r>
              <w:rPr>
                <w:rFonts w:ascii="Aptos" w:hAnsi="Aptos"/>
                <w:b/>
                <w:color w:val="FFFFFF"/>
                <w:sz w:val="18"/>
              </w:rPr>
              <w:t>Scale</w:t>
            </w:r>
          </w:p>
        </w:tc>
        <w:tc>
          <w:tcPr>
            <w:tcW w:type="dxa" w:w="4320"/>
            <w:vAlign w:val="center"/>
            <w:shd w:fill="17354F"/>
          </w:tcPr>
          <w:p>
            <w:pPr>
              <w:spacing w:after="0"/>
            </w:pPr>
            <w:r/>
            <w:r>
              <w:rPr>
                <w:rFonts w:ascii="Aptos" w:hAnsi="Aptos"/>
                <w:b/>
                <w:color w:val="FFFFFF"/>
                <w:sz w:val="18"/>
              </w:rPr>
              <w:t>Expected configuration</w:t>
            </w:r>
          </w:p>
        </w:tc>
        <w:tc>
          <w:tcPr>
            <w:tcW w:type="dxa" w:w="3600"/>
            <w:vAlign w:val="center"/>
            <w:shd w:fill="17354F"/>
          </w:tcPr>
          <w:p>
            <w:pPr>
              <w:spacing w:after="0"/>
            </w:pPr>
            <w:r/>
            <w:r>
              <w:rPr>
                <w:rFonts w:ascii="Aptos" w:hAnsi="Aptos"/>
                <w:b/>
                <w:color w:val="FFFFFF"/>
                <w:sz w:val="18"/>
              </w:rPr>
              <w:t>Key requirement</w:t>
            </w:r>
          </w:p>
        </w:tc>
      </w:tr>
      <w:tr>
        <w:tc>
          <w:tcPr>
            <w:tcW w:type="dxa" w:w="2016"/>
            <w:vAlign w:val="center"/>
          </w:tcPr>
          <w:p>
            <w:pPr>
              <w:spacing w:after="0"/>
            </w:pPr>
            <w:r/>
            <w:r>
              <w:rPr>
                <w:rFonts w:ascii="Aptos" w:hAnsi="Aptos"/>
                <w:b w:val="0"/>
                <w:color w:val="172B3A"/>
                <w:sz w:val="17"/>
              </w:rPr>
              <w:t>Small — one ward</w:t>
            </w:r>
          </w:p>
        </w:tc>
        <w:tc>
          <w:tcPr>
            <w:tcW w:type="dxa" w:w="4320"/>
            <w:vAlign w:val="center"/>
          </w:tcPr>
          <w:p>
            <w:pPr>
              <w:spacing w:after="0"/>
            </w:pPr>
            <w:r/>
            <w:r>
              <w:rPr>
                <w:rFonts w:ascii="Aptos" w:hAnsi="Aptos"/>
                <w:b w:val="0"/>
                <w:color w:val="172B3A"/>
                <w:sz w:val="17"/>
              </w:rPr>
              <w:t>Dozens to hundreds of requests; small tanker pool.</w:t>
            </w:r>
          </w:p>
        </w:tc>
        <w:tc>
          <w:tcPr>
            <w:tcW w:type="dxa" w:w="3600"/>
            <w:vAlign w:val="center"/>
          </w:tcPr>
          <w:p>
            <w:pPr>
              <w:spacing w:after="0"/>
            </w:pPr>
            <w:r/>
            <w:r>
              <w:rPr>
                <w:rFonts w:ascii="Aptos" w:hAnsi="Aptos"/>
                <w:b w:val="0"/>
                <w:color w:val="172B3A"/>
                <w:sz w:val="17"/>
              </w:rPr>
              <w:t>Simple database + map + scoring + manual dispatch.</w:t>
            </w:r>
          </w:p>
        </w:tc>
      </w:tr>
      <w:tr>
        <w:tc>
          <w:tcPr>
            <w:tcW w:type="dxa" w:w="2016"/>
            <w:vAlign w:val="center"/>
          </w:tcPr>
          <w:p>
            <w:pPr>
              <w:spacing w:after="0"/>
            </w:pPr>
            <w:r/>
            <w:r>
              <w:rPr>
                <w:rFonts w:ascii="Aptos" w:hAnsi="Aptos"/>
                <w:b w:val="0"/>
                <w:color w:val="172B3A"/>
                <w:sz w:val="17"/>
              </w:rPr>
              <w:t>Medium — city zone</w:t>
            </w:r>
          </w:p>
        </w:tc>
        <w:tc>
          <w:tcPr>
            <w:tcW w:type="dxa" w:w="4320"/>
            <w:vAlign w:val="center"/>
          </w:tcPr>
          <w:p>
            <w:pPr>
              <w:spacing w:after="0"/>
            </w:pPr>
            <w:r/>
            <w:r>
              <w:rPr>
                <w:rFonts w:ascii="Aptos" w:hAnsi="Aptos"/>
                <w:b w:val="0"/>
                <w:color w:val="172B3A"/>
                <w:sz w:val="17"/>
              </w:rPr>
              <w:t>Multiple wards and tanker pools.</w:t>
            </w:r>
          </w:p>
        </w:tc>
        <w:tc>
          <w:tcPr>
            <w:tcW w:type="dxa" w:w="3600"/>
            <w:vAlign w:val="center"/>
          </w:tcPr>
          <w:p>
            <w:pPr>
              <w:spacing w:after="0"/>
            </w:pPr>
            <w:r/>
            <w:r>
              <w:rPr>
                <w:rFonts w:ascii="Aptos" w:hAnsi="Aptos"/>
                <w:b w:val="0"/>
                <w:color w:val="172B3A"/>
                <w:sz w:val="17"/>
              </w:rPr>
              <w:t>PostGIS + route optimization + role-based operations.</w:t>
            </w:r>
          </w:p>
        </w:tc>
      </w:tr>
      <w:tr>
        <w:tc>
          <w:tcPr>
            <w:tcW w:type="dxa" w:w="2016"/>
            <w:vAlign w:val="center"/>
          </w:tcPr>
          <w:p>
            <w:pPr>
              <w:spacing w:after="0"/>
            </w:pPr>
            <w:r/>
            <w:r>
              <w:rPr>
                <w:rFonts w:ascii="Aptos" w:hAnsi="Aptos"/>
                <w:b w:val="0"/>
                <w:color w:val="172B3A"/>
                <w:sz w:val="17"/>
              </w:rPr>
              <w:t>Large — city</w:t>
            </w:r>
          </w:p>
        </w:tc>
        <w:tc>
          <w:tcPr>
            <w:tcW w:type="dxa" w:w="4320"/>
            <w:vAlign w:val="center"/>
          </w:tcPr>
          <w:p>
            <w:pPr>
              <w:spacing w:after="0"/>
            </w:pPr>
            <w:r/>
            <w:r>
              <w:rPr>
                <w:rFonts w:ascii="Aptos" w:hAnsi="Aptos"/>
                <w:b w:val="0"/>
                <w:color w:val="172B3A"/>
                <w:sz w:val="17"/>
              </w:rPr>
              <w:t>Many concurrent requests and fleets.</w:t>
            </w:r>
          </w:p>
        </w:tc>
        <w:tc>
          <w:tcPr>
            <w:tcW w:type="dxa" w:w="3600"/>
            <w:vAlign w:val="center"/>
          </w:tcPr>
          <w:p>
            <w:pPr>
              <w:spacing w:after="0"/>
            </w:pPr>
            <w:r/>
            <w:r>
              <w:rPr>
                <w:rFonts w:ascii="Aptos" w:hAnsi="Aptos"/>
                <w:b w:val="0"/>
                <w:color w:val="172B3A"/>
                <w:sz w:val="17"/>
              </w:rPr>
              <w:t>Caching, asynchronous processing, event logs, stronger GIS indexing.</w:t>
            </w:r>
          </w:p>
        </w:tc>
      </w:tr>
      <w:tr>
        <w:tc>
          <w:tcPr>
            <w:tcW w:type="dxa" w:w="2016"/>
            <w:vAlign w:val="center"/>
          </w:tcPr>
          <w:p>
            <w:pPr>
              <w:spacing w:after="0"/>
            </w:pPr>
            <w:r/>
            <w:r>
              <w:rPr>
                <w:rFonts w:ascii="Aptos" w:hAnsi="Aptos"/>
                <w:b w:val="0"/>
                <w:color w:val="172B3A"/>
                <w:sz w:val="17"/>
              </w:rPr>
              <w:t>District / state</w:t>
            </w:r>
          </w:p>
        </w:tc>
        <w:tc>
          <w:tcPr>
            <w:tcW w:type="dxa" w:w="4320"/>
            <w:vAlign w:val="center"/>
          </w:tcPr>
          <w:p>
            <w:pPr>
              <w:spacing w:after="0"/>
            </w:pPr>
            <w:r/>
            <w:r>
              <w:rPr>
                <w:rFonts w:ascii="Aptos" w:hAnsi="Aptos"/>
                <w:b w:val="0"/>
                <w:color w:val="172B3A"/>
                <w:sz w:val="17"/>
              </w:rPr>
              <w:t>Multiple authorities and administrative boundaries.</w:t>
            </w:r>
          </w:p>
        </w:tc>
        <w:tc>
          <w:tcPr>
            <w:tcW w:type="dxa" w:w="3600"/>
            <w:vAlign w:val="center"/>
          </w:tcPr>
          <w:p>
            <w:pPr>
              <w:spacing w:after="0"/>
            </w:pPr>
            <w:r/>
            <w:r>
              <w:rPr>
                <w:rFonts w:ascii="Aptos" w:hAnsi="Aptos"/>
                <w:b w:val="0"/>
                <w:color w:val="172B3A"/>
                <w:sz w:val="17"/>
              </w:rPr>
              <w:t>Federated data governance, APIs, standardized schemas and central analytics.</w:t>
            </w:r>
          </w:p>
        </w:tc>
      </w:tr>
    </w:tbl>
    <w:p>
      <w:pPr>
        <w:spacing w:after="0"/>
      </w:pPr>
    </w:p>
    <w:p>
      <w:pPr>
        <w:pStyle w:val="Heading1"/>
      </w:pPr>
      <w:r>
        <w:t>9. Risks, Negative Impacts &amp; Mitigation</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7354F"/>
          </w:tcPr>
          <w:p>
            <w:pPr>
              <w:spacing w:after="0"/>
            </w:pPr>
            <w:r/>
            <w:r>
              <w:rPr>
                <w:rFonts w:ascii="Aptos" w:hAnsi="Aptos"/>
                <w:b/>
                <w:color w:val="FFFFFF"/>
                <w:sz w:val="18"/>
              </w:rPr>
              <w:t>Risk / negative impact</w:t>
            </w:r>
          </w:p>
        </w:tc>
        <w:tc>
          <w:tcPr>
            <w:tcW w:type="dxa" w:w="3888"/>
            <w:vAlign w:val="center"/>
            <w:shd w:fill="17354F"/>
          </w:tcPr>
          <w:p>
            <w:pPr>
              <w:spacing w:after="0"/>
            </w:pPr>
            <w:r/>
            <w:r>
              <w:rPr>
                <w:rFonts w:ascii="Aptos" w:hAnsi="Aptos"/>
                <w:b/>
                <w:color w:val="FFFFFF"/>
                <w:sz w:val="18"/>
              </w:rPr>
              <w:t>How it could occur</w:t>
            </w:r>
          </w:p>
        </w:tc>
        <w:tc>
          <w:tcPr>
            <w:tcW w:type="dxa" w:w="3960"/>
            <w:vAlign w:val="center"/>
            <w:shd w:fill="17354F"/>
          </w:tcPr>
          <w:p>
            <w:pPr>
              <w:spacing w:after="0"/>
            </w:pPr>
            <w:r/>
            <w:r>
              <w:rPr>
                <w:rFonts w:ascii="Aptos" w:hAnsi="Aptos"/>
                <w:b/>
                <w:color w:val="FFFFFF"/>
                <w:sz w:val="18"/>
              </w:rPr>
              <w:t>Mitigation</w:t>
            </w:r>
          </w:p>
        </w:tc>
      </w:tr>
      <w:tr>
        <w:tc>
          <w:tcPr>
            <w:tcW w:type="dxa" w:w="2088"/>
            <w:vAlign w:val="center"/>
          </w:tcPr>
          <w:p>
            <w:pPr>
              <w:spacing w:after="0"/>
            </w:pPr>
            <w:r/>
            <w:r>
              <w:rPr>
                <w:rFonts w:ascii="Aptos" w:hAnsi="Aptos"/>
                <w:b w:val="0"/>
                <w:color w:val="172B3A"/>
                <w:sz w:val="17"/>
              </w:rPr>
              <w:t>Algorithmic bias</w:t>
            </w:r>
          </w:p>
        </w:tc>
        <w:tc>
          <w:tcPr>
            <w:tcW w:type="dxa" w:w="3888"/>
            <w:vAlign w:val="center"/>
          </w:tcPr>
          <w:p>
            <w:pPr>
              <w:spacing w:after="0"/>
            </w:pPr>
            <w:r/>
            <w:r>
              <w:rPr>
                <w:rFonts w:ascii="Aptos" w:hAnsi="Aptos"/>
                <w:b w:val="0"/>
                <w:color w:val="172B3A"/>
                <w:sz w:val="17"/>
              </w:rPr>
              <w:t>Incorrect vulnerability weights or biased data could systematically deprioritize groups.</w:t>
            </w:r>
          </w:p>
        </w:tc>
        <w:tc>
          <w:tcPr>
            <w:tcW w:type="dxa" w:w="3960"/>
            <w:vAlign w:val="center"/>
          </w:tcPr>
          <w:p>
            <w:pPr>
              <w:spacing w:after="0"/>
            </w:pPr>
            <w:r/>
            <w:r>
              <w:rPr>
                <w:rFonts w:ascii="Aptos" w:hAnsi="Aptos"/>
                <w:b w:val="0"/>
                <w:color w:val="172B3A"/>
                <w:sz w:val="17"/>
              </w:rPr>
              <w:t>Publish weights, allow controlled overrides, audit outcomes and compare subgroup service coverage.</w:t>
            </w:r>
          </w:p>
        </w:tc>
      </w:tr>
      <w:tr>
        <w:tc>
          <w:tcPr>
            <w:tcW w:type="dxa" w:w="2088"/>
            <w:vAlign w:val="center"/>
          </w:tcPr>
          <w:p>
            <w:pPr>
              <w:spacing w:after="0"/>
            </w:pPr>
            <w:r/>
            <w:r>
              <w:rPr>
                <w:rFonts w:ascii="Aptos" w:hAnsi="Aptos"/>
                <w:b w:val="0"/>
                <w:color w:val="172B3A"/>
                <w:sz w:val="17"/>
              </w:rPr>
              <w:t>Digital exclusion</w:t>
            </w:r>
          </w:p>
        </w:tc>
        <w:tc>
          <w:tcPr>
            <w:tcW w:type="dxa" w:w="3888"/>
            <w:vAlign w:val="center"/>
          </w:tcPr>
          <w:p>
            <w:pPr>
              <w:spacing w:after="0"/>
            </w:pPr>
            <w:r/>
            <w:r>
              <w:rPr>
                <w:rFonts w:ascii="Aptos" w:hAnsi="Aptos"/>
                <w:b w:val="0"/>
                <w:color w:val="172B3A"/>
                <w:sz w:val="17"/>
              </w:rPr>
              <w:t>Low-connectivity or low-literacy communities may file fewer digital requests.</w:t>
            </w:r>
          </w:p>
        </w:tc>
        <w:tc>
          <w:tcPr>
            <w:tcW w:type="dxa" w:w="3960"/>
            <w:vAlign w:val="center"/>
          </w:tcPr>
          <w:p>
            <w:pPr>
              <w:spacing w:after="0"/>
            </w:pPr>
            <w:r/>
            <w:r>
              <w:rPr>
                <w:rFonts w:ascii="Aptos" w:hAnsi="Aptos"/>
                <w:b w:val="0"/>
                <w:color w:val="172B3A"/>
                <w:sz w:val="17"/>
              </w:rPr>
              <w:t>Voice/assisted/offline channels and field-worker reporting; do not equate request count with need.</w:t>
            </w:r>
          </w:p>
        </w:tc>
      </w:tr>
      <w:tr>
        <w:tc>
          <w:tcPr>
            <w:tcW w:type="dxa" w:w="2088"/>
            <w:vAlign w:val="center"/>
          </w:tcPr>
          <w:p>
            <w:pPr>
              <w:spacing w:after="0"/>
            </w:pPr>
            <w:r/>
            <w:r>
              <w:rPr>
                <w:rFonts w:ascii="Aptos" w:hAnsi="Aptos"/>
                <w:b w:val="0"/>
                <w:color w:val="172B3A"/>
                <w:sz w:val="17"/>
              </w:rPr>
              <w:t>Gaming / duplicate demand</w:t>
            </w:r>
          </w:p>
        </w:tc>
        <w:tc>
          <w:tcPr>
            <w:tcW w:type="dxa" w:w="3888"/>
            <w:vAlign w:val="center"/>
          </w:tcPr>
          <w:p>
            <w:pPr>
              <w:spacing w:after="0"/>
            </w:pPr>
            <w:r/>
            <w:r>
              <w:rPr>
                <w:rFonts w:ascii="Aptos" w:hAnsi="Aptos"/>
                <w:b w:val="0"/>
                <w:color w:val="172B3A"/>
                <w:sz w:val="17"/>
              </w:rPr>
              <w:t>Repeated submissions could inflate local demand.</w:t>
            </w:r>
          </w:p>
        </w:tc>
        <w:tc>
          <w:tcPr>
            <w:tcW w:type="dxa" w:w="3960"/>
            <w:vAlign w:val="center"/>
          </w:tcPr>
          <w:p>
            <w:pPr>
              <w:spacing w:after="0"/>
            </w:pPr>
            <w:r/>
            <w:r>
              <w:rPr>
                <w:rFonts w:ascii="Aptos" w:hAnsi="Aptos"/>
                <w:b w:val="0"/>
                <w:color w:val="172B3A"/>
                <w:sz w:val="17"/>
              </w:rPr>
              <w:t>Identity/household linkage where appropriate, duplicate detection and geographic clustering.</w:t>
            </w:r>
          </w:p>
        </w:tc>
      </w:tr>
      <w:tr>
        <w:tc>
          <w:tcPr>
            <w:tcW w:type="dxa" w:w="2088"/>
            <w:vAlign w:val="center"/>
          </w:tcPr>
          <w:p>
            <w:pPr>
              <w:spacing w:after="0"/>
            </w:pPr>
            <w:r/>
            <w:r>
              <w:rPr>
                <w:rFonts w:ascii="Aptos" w:hAnsi="Aptos"/>
                <w:b w:val="0"/>
                <w:color w:val="172B3A"/>
                <w:sz w:val="17"/>
              </w:rPr>
              <w:t>Privacy exposure</w:t>
            </w:r>
          </w:p>
        </w:tc>
        <w:tc>
          <w:tcPr>
            <w:tcW w:type="dxa" w:w="3888"/>
            <w:vAlign w:val="center"/>
          </w:tcPr>
          <w:p>
            <w:pPr>
              <w:spacing w:after="0"/>
            </w:pPr>
            <w:r/>
            <w:r>
              <w:rPr>
                <w:rFonts w:ascii="Aptos" w:hAnsi="Aptos"/>
                <w:b w:val="0"/>
                <w:color w:val="172B3A"/>
                <w:sz w:val="17"/>
              </w:rPr>
              <w:t>Household GPS and contact data could be exposed on maps.</w:t>
            </w:r>
          </w:p>
        </w:tc>
        <w:tc>
          <w:tcPr>
            <w:tcW w:type="dxa" w:w="3960"/>
            <w:vAlign w:val="center"/>
          </w:tcPr>
          <w:p>
            <w:pPr>
              <w:spacing w:after="0"/>
            </w:pPr>
            <w:r/>
            <w:r>
              <w:rPr>
                <w:rFonts w:ascii="Aptos" w:hAnsi="Aptos"/>
                <w:b w:val="0"/>
                <w:color w:val="172B3A"/>
                <w:sz w:val="17"/>
              </w:rPr>
              <w:t>Role-based access, data minimization, aggregation and limited retention.</w:t>
            </w:r>
          </w:p>
        </w:tc>
      </w:tr>
      <w:tr>
        <w:tc>
          <w:tcPr>
            <w:tcW w:type="dxa" w:w="2088"/>
            <w:vAlign w:val="center"/>
          </w:tcPr>
          <w:p>
            <w:pPr>
              <w:spacing w:after="0"/>
            </w:pPr>
            <w:r/>
            <w:r>
              <w:rPr>
                <w:rFonts w:ascii="Aptos" w:hAnsi="Aptos"/>
                <w:b w:val="0"/>
                <w:color w:val="172B3A"/>
                <w:sz w:val="17"/>
              </w:rPr>
              <w:t>Distance-first optimization</w:t>
            </w:r>
          </w:p>
        </w:tc>
        <w:tc>
          <w:tcPr>
            <w:tcW w:type="dxa" w:w="3888"/>
            <w:vAlign w:val="center"/>
          </w:tcPr>
          <w:p>
            <w:pPr>
              <w:spacing w:after="0"/>
            </w:pPr>
            <w:r/>
            <w:r>
              <w:rPr>
                <w:rFonts w:ascii="Aptos" w:hAnsi="Aptos"/>
                <w:b w:val="0"/>
                <w:color w:val="172B3A"/>
                <w:sz w:val="17"/>
              </w:rPr>
              <w:t>A shortest-route objective could systematically favor easy-to-reach areas.</w:t>
            </w:r>
          </w:p>
        </w:tc>
        <w:tc>
          <w:tcPr>
            <w:tcW w:type="dxa" w:w="3960"/>
            <w:vAlign w:val="center"/>
          </w:tcPr>
          <w:p>
            <w:pPr>
              <w:spacing w:after="0"/>
            </w:pPr>
            <w:r/>
            <w:r>
              <w:rPr>
                <w:rFonts w:ascii="Aptos" w:hAnsi="Aptos"/>
                <w:b w:val="0"/>
                <w:color w:val="172B3A"/>
                <w:sz w:val="17"/>
              </w:rPr>
              <w:t>Treat equity/priority as a constraint or objective; distance is only one factor.</w:t>
            </w:r>
          </w:p>
        </w:tc>
      </w:tr>
      <w:tr>
        <w:tc>
          <w:tcPr>
            <w:tcW w:type="dxa" w:w="2088"/>
            <w:vAlign w:val="center"/>
          </w:tcPr>
          <w:p>
            <w:pPr>
              <w:spacing w:after="0"/>
            </w:pPr>
            <w:r/>
            <w:r>
              <w:rPr>
                <w:rFonts w:ascii="Aptos" w:hAnsi="Aptos"/>
                <w:b w:val="0"/>
                <w:color w:val="172B3A"/>
                <w:sz w:val="17"/>
              </w:rPr>
              <w:t>False certainty</w:t>
            </w:r>
          </w:p>
        </w:tc>
        <w:tc>
          <w:tcPr>
            <w:tcW w:type="dxa" w:w="3888"/>
            <w:vAlign w:val="center"/>
          </w:tcPr>
          <w:p>
            <w:pPr>
              <w:spacing w:after="0"/>
            </w:pPr>
            <w:r/>
            <w:r>
              <w:rPr>
                <w:rFonts w:ascii="Aptos" w:hAnsi="Aptos"/>
                <w:b w:val="0"/>
                <w:color w:val="172B3A"/>
                <w:sz w:val="17"/>
              </w:rPr>
              <w:t>Synthetic data or a prototype model could be interpreted as real-world validated.</w:t>
            </w:r>
          </w:p>
        </w:tc>
        <w:tc>
          <w:tcPr>
            <w:tcW w:type="dxa" w:w="3960"/>
            <w:vAlign w:val="center"/>
          </w:tcPr>
          <w:p>
            <w:pPr>
              <w:spacing w:after="0"/>
            </w:pPr>
            <w:r/>
            <w:r>
              <w:rPr>
                <w:rFonts w:ascii="Aptos" w:hAnsi="Aptos"/>
                <w:b w:val="0"/>
                <w:color w:val="172B3A"/>
                <w:sz w:val="17"/>
              </w:rPr>
              <w:t>Label synthetic results clearly and distinguish prototype evaluation from deployment evidence.</w:t>
            </w:r>
          </w:p>
        </w:tc>
      </w:tr>
      <w:tr>
        <w:tc>
          <w:tcPr>
            <w:tcW w:type="dxa" w:w="2088"/>
            <w:vAlign w:val="center"/>
          </w:tcPr>
          <w:p>
            <w:pPr>
              <w:spacing w:after="0"/>
            </w:pPr>
            <w:r/>
            <w:r>
              <w:rPr>
                <w:rFonts w:ascii="Aptos" w:hAnsi="Aptos"/>
                <w:b w:val="0"/>
                <w:color w:val="172B3A"/>
                <w:sz w:val="17"/>
              </w:rPr>
              <w:t>Operational dependence</w:t>
            </w:r>
          </w:p>
        </w:tc>
        <w:tc>
          <w:tcPr>
            <w:tcW w:type="dxa" w:w="3888"/>
            <w:vAlign w:val="center"/>
          </w:tcPr>
          <w:p>
            <w:pPr>
              <w:spacing w:after="0"/>
            </w:pPr>
            <w:r/>
            <w:r>
              <w:rPr>
                <w:rFonts w:ascii="Aptos" w:hAnsi="Aptos"/>
                <w:b w:val="0"/>
                <w:color w:val="172B3A"/>
                <w:sz w:val="17"/>
              </w:rPr>
              <w:t>Municipal workflows may not match the software model.</w:t>
            </w:r>
          </w:p>
        </w:tc>
        <w:tc>
          <w:tcPr>
            <w:tcW w:type="dxa" w:w="3960"/>
            <w:vAlign w:val="center"/>
          </w:tcPr>
          <w:p>
            <w:pPr>
              <w:spacing w:after="0"/>
            </w:pPr>
            <w:r/>
            <w:r>
              <w:rPr>
                <w:rFonts w:ascii="Aptos" w:hAnsi="Aptos"/>
                <w:b w:val="0"/>
                <w:color w:val="172B3A"/>
                <w:sz w:val="17"/>
              </w:rPr>
              <w:t>Pilot with configurable rules and keep human authorization in the loop.</w:t>
            </w:r>
          </w:p>
        </w:tc>
      </w:tr>
    </w:tbl>
    <w:p>
      <w:pPr>
        <w:spacing w:after="0"/>
      </w:pPr>
    </w:p>
    <w:p>
      <w:pPr>
        <w:pStyle w:val="Heading1"/>
      </w:pPr>
      <w:r>
        <w:t>10. Measurable Resource Improvement &amp; Evaluation Design</w:t>
      </w:r>
    </w:p>
    <w:p>
      <w:r>
        <w:t>The strongest scientific evaluation is a controlled comparison between a baseline allocation policy and the proposed system using the same dataset.</w:t>
      </w:r>
    </w:p>
    <w:p>
      <w:pPr>
        <w:pStyle w:val="Heading2"/>
      </w:pPr>
      <w:r>
        <w:t>10.1 Baseline vs proposed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304"/>
            <w:vAlign w:val="center"/>
            <w:shd w:fill="17354F"/>
          </w:tcPr>
          <w:p>
            <w:pPr>
              <w:spacing w:after="0"/>
            </w:pPr>
            <w:r/>
            <w:r>
              <w:rPr>
                <w:rFonts w:ascii="Aptos" w:hAnsi="Aptos"/>
                <w:b/>
                <w:color w:val="FFFFFF"/>
                <w:sz w:val="18"/>
              </w:rPr>
              <w:t>Metric</w:t>
            </w:r>
          </w:p>
        </w:tc>
        <w:tc>
          <w:tcPr>
            <w:tcW w:type="dxa" w:w="2880"/>
            <w:vAlign w:val="center"/>
            <w:shd w:fill="17354F"/>
          </w:tcPr>
          <w:p>
            <w:pPr>
              <w:spacing w:after="0"/>
            </w:pPr>
            <w:r/>
            <w:r>
              <w:rPr>
                <w:rFonts w:ascii="Aptos" w:hAnsi="Aptos"/>
                <w:b/>
                <w:color w:val="FFFFFF"/>
                <w:sz w:val="18"/>
              </w:rPr>
              <w:t>Baseline</w:t>
            </w:r>
          </w:p>
        </w:tc>
        <w:tc>
          <w:tcPr>
            <w:tcW w:type="dxa" w:w="2880"/>
            <w:vAlign w:val="center"/>
            <w:shd w:fill="17354F"/>
          </w:tcPr>
          <w:p>
            <w:pPr>
              <w:spacing w:after="0"/>
            </w:pPr>
            <w:r/>
            <w:r>
              <w:rPr>
                <w:rFonts w:ascii="Aptos" w:hAnsi="Aptos"/>
                <w:b/>
                <w:color w:val="FFFFFF"/>
                <w:sz w:val="18"/>
              </w:rPr>
              <w:t>Proposed system</w:t>
            </w:r>
          </w:p>
        </w:tc>
        <w:tc>
          <w:tcPr>
            <w:tcW w:type="dxa" w:w="2448"/>
            <w:vAlign w:val="center"/>
            <w:shd w:fill="17354F"/>
          </w:tcPr>
          <w:p>
            <w:pPr>
              <w:spacing w:after="0"/>
            </w:pPr>
            <w:r/>
            <w:r>
              <w:rPr>
                <w:rFonts w:ascii="Aptos" w:hAnsi="Aptos"/>
                <w:b/>
                <w:color w:val="FFFFFF"/>
                <w:sz w:val="18"/>
              </w:rPr>
              <w:t>Interpretation</w:t>
            </w:r>
          </w:p>
        </w:tc>
      </w:tr>
      <w:tr>
        <w:tc>
          <w:tcPr>
            <w:tcW w:type="dxa" w:w="2304"/>
            <w:vAlign w:val="center"/>
          </w:tcPr>
          <w:p>
            <w:pPr>
              <w:spacing w:after="0"/>
            </w:pPr>
            <w:r/>
            <w:r>
              <w:rPr>
                <w:rFonts w:ascii="Aptos" w:hAnsi="Aptos"/>
                <w:b w:val="0"/>
                <w:color w:val="172B3A"/>
                <w:sz w:val="17"/>
              </w:rPr>
              <w:t>Unmet requests</w:t>
            </w:r>
          </w:p>
        </w:tc>
        <w:tc>
          <w:tcPr>
            <w:tcW w:type="dxa" w:w="2880"/>
            <w:vAlign w:val="center"/>
          </w:tcPr>
          <w:p>
            <w:pPr>
              <w:spacing w:after="0"/>
            </w:pPr>
            <w:r/>
            <w:r>
              <w:rPr>
                <w:rFonts w:ascii="Aptos" w:hAnsi="Aptos"/>
                <w:b w:val="0"/>
                <w:color w:val="172B3A"/>
                <w:sz w:val="17"/>
              </w:rPr>
              <w:t>First-come-first-served</w:t>
            </w:r>
          </w:p>
        </w:tc>
        <w:tc>
          <w:tcPr>
            <w:tcW w:type="dxa" w:w="2880"/>
            <w:vAlign w:val="center"/>
          </w:tcPr>
          <w:p>
            <w:pPr>
              <w:spacing w:after="0"/>
            </w:pPr>
            <w:r/>
            <w:r>
              <w:rPr>
                <w:rFonts w:ascii="Aptos" w:hAnsi="Aptos"/>
                <w:b w:val="0"/>
                <w:color w:val="172B3A"/>
                <w:sz w:val="17"/>
              </w:rPr>
              <w:t>Need-aware allocation</w:t>
            </w:r>
          </w:p>
        </w:tc>
        <w:tc>
          <w:tcPr>
            <w:tcW w:type="dxa" w:w="2448"/>
            <w:vAlign w:val="center"/>
          </w:tcPr>
          <w:p>
            <w:pPr>
              <w:spacing w:after="0"/>
            </w:pPr>
            <w:r/>
            <w:r>
              <w:rPr>
                <w:rFonts w:ascii="Aptos" w:hAnsi="Aptos"/>
                <w:b w:val="0"/>
                <w:color w:val="172B3A"/>
                <w:sz w:val="17"/>
              </w:rPr>
              <w:t>Lower is better.</w:t>
            </w:r>
          </w:p>
        </w:tc>
      </w:tr>
      <w:tr>
        <w:tc>
          <w:tcPr>
            <w:tcW w:type="dxa" w:w="2304"/>
            <w:vAlign w:val="center"/>
          </w:tcPr>
          <w:p>
            <w:pPr>
              <w:spacing w:after="0"/>
            </w:pPr>
            <w:r/>
            <w:r>
              <w:rPr>
                <w:rFonts w:ascii="Aptos" w:hAnsi="Aptos"/>
                <w:b w:val="0"/>
                <w:color w:val="172B3A"/>
                <w:sz w:val="17"/>
              </w:rPr>
              <w:t>Average tanker travel distance</w:t>
            </w:r>
          </w:p>
        </w:tc>
        <w:tc>
          <w:tcPr>
            <w:tcW w:type="dxa" w:w="2880"/>
            <w:vAlign w:val="center"/>
          </w:tcPr>
          <w:p>
            <w:pPr>
              <w:spacing w:after="0"/>
            </w:pPr>
            <w:r/>
            <w:r>
              <w:rPr>
                <w:rFonts w:ascii="Aptos" w:hAnsi="Aptos"/>
                <w:b w:val="0"/>
                <w:color w:val="172B3A"/>
                <w:sz w:val="17"/>
              </w:rPr>
              <w:t>Baseline routing</w:t>
            </w:r>
          </w:p>
        </w:tc>
        <w:tc>
          <w:tcPr>
            <w:tcW w:type="dxa" w:w="2880"/>
            <w:vAlign w:val="center"/>
          </w:tcPr>
          <w:p>
            <w:pPr>
              <w:spacing w:after="0"/>
            </w:pPr>
            <w:r/>
            <w:r>
              <w:rPr>
                <w:rFonts w:ascii="Aptos" w:hAnsi="Aptos"/>
                <w:b w:val="0"/>
                <w:color w:val="172B3A"/>
                <w:sz w:val="17"/>
              </w:rPr>
              <w:t>Optimized routing</w:t>
            </w:r>
          </w:p>
        </w:tc>
        <w:tc>
          <w:tcPr>
            <w:tcW w:type="dxa" w:w="2448"/>
            <w:vAlign w:val="center"/>
          </w:tcPr>
          <w:p>
            <w:pPr>
              <w:spacing w:after="0"/>
            </w:pPr>
            <w:r/>
            <w:r>
              <w:rPr>
                <w:rFonts w:ascii="Aptos" w:hAnsi="Aptos"/>
                <w:b w:val="0"/>
                <w:color w:val="172B3A"/>
                <w:sz w:val="17"/>
              </w:rPr>
              <w:t>Lower is better, subject to equity constraints.</w:t>
            </w:r>
          </w:p>
        </w:tc>
      </w:tr>
      <w:tr>
        <w:tc>
          <w:tcPr>
            <w:tcW w:type="dxa" w:w="2304"/>
            <w:vAlign w:val="center"/>
          </w:tcPr>
          <w:p>
            <w:pPr>
              <w:spacing w:after="0"/>
            </w:pPr>
            <w:r/>
            <w:r>
              <w:rPr>
                <w:rFonts w:ascii="Aptos" w:hAnsi="Aptos"/>
                <w:b w:val="0"/>
                <w:color w:val="172B3A"/>
                <w:sz w:val="17"/>
              </w:rPr>
              <w:t>Duplicate requests</w:t>
            </w:r>
          </w:p>
        </w:tc>
        <w:tc>
          <w:tcPr>
            <w:tcW w:type="dxa" w:w="2880"/>
            <w:vAlign w:val="center"/>
          </w:tcPr>
          <w:p>
            <w:pPr>
              <w:spacing w:after="0"/>
            </w:pPr>
            <w:r/>
            <w:r>
              <w:rPr>
                <w:rFonts w:ascii="Aptos" w:hAnsi="Aptos"/>
                <w:b w:val="0"/>
                <w:color w:val="172B3A"/>
                <w:sz w:val="17"/>
              </w:rPr>
              <w:t>Raw request count</w:t>
            </w:r>
          </w:p>
        </w:tc>
        <w:tc>
          <w:tcPr>
            <w:tcW w:type="dxa" w:w="2880"/>
            <w:vAlign w:val="center"/>
          </w:tcPr>
          <w:p>
            <w:pPr>
              <w:spacing w:after="0"/>
            </w:pPr>
            <w:r/>
            <w:r>
              <w:rPr>
                <w:rFonts w:ascii="Aptos" w:hAnsi="Aptos"/>
                <w:b w:val="0"/>
                <w:color w:val="172B3A"/>
                <w:sz w:val="17"/>
              </w:rPr>
              <w:t>Linked/clustered requests</w:t>
            </w:r>
          </w:p>
        </w:tc>
        <w:tc>
          <w:tcPr>
            <w:tcW w:type="dxa" w:w="2448"/>
            <w:vAlign w:val="center"/>
          </w:tcPr>
          <w:p>
            <w:pPr>
              <w:spacing w:after="0"/>
            </w:pPr>
            <w:r/>
            <w:r>
              <w:rPr>
                <w:rFonts w:ascii="Aptos" w:hAnsi="Aptos"/>
                <w:b w:val="0"/>
                <w:color w:val="172B3A"/>
                <w:sz w:val="17"/>
              </w:rPr>
              <w:t>Lower is better if duplicates are correctly identified.</w:t>
            </w:r>
          </w:p>
        </w:tc>
      </w:tr>
      <w:tr>
        <w:tc>
          <w:tcPr>
            <w:tcW w:type="dxa" w:w="2304"/>
            <w:vAlign w:val="center"/>
          </w:tcPr>
          <w:p>
            <w:pPr>
              <w:spacing w:after="0"/>
            </w:pPr>
            <w:r/>
            <w:r>
              <w:rPr>
                <w:rFonts w:ascii="Aptos" w:hAnsi="Aptos"/>
                <w:b w:val="0"/>
                <w:color w:val="172B3A"/>
                <w:sz w:val="17"/>
              </w:rPr>
              <w:t>Service equity</w:t>
            </w:r>
          </w:p>
        </w:tc>
        <w:tc>
          <w:tcPr>
            <w:tcW w:type="dxa" w:w="2880"/>
            <w:vAlign w:val="center"/>
          </w:tcPr>
          <w:p>
            <w:pPr>
              <w:spacing w:after="0"/>
            </w:pPr>
            <w:r/>
            <w:r>
              <w:rPr>
                <w:rFonts w:ascii="Aptos" w:hAnsi="Aptos"/>
                <w:b w:val="0"/>
                <w:color w:val="172B3A"/>
                <w:sz w:val="17"/>
              </w:rPr>
              <w:t>Baseline distribution</w:t>
            </w:r>
          </w:p>
        </w:tc>
        <w:tc>
          <w:tcPr>
            <w:tcW w:type="dxa" w:w="2880"/>
            <w:vAlign w:val="center"/>
          </w:tcPr>
          <w:p>
            <w:pPr>
              <w:spacing w:after="0"/>
            </w:pPr>
            <w:r/>
            <w:r>
              <w:rPr>
                <w:rFonts w:ascii="Aptos" w:hAnsi="Aptos"/>
                <w:b w:val="0"/>
                <w:color w:val="172B3A"/>
                <w:sz w:val="17"/>
              </w:rPr>
              <w:t>Equity-aware allocation</w:t>
            </w:r>
          </w:p>
        </w:tc>
        <w:tc>
          <w:tcPr>
            <w:tcW w:type="dxa" w:w="2448"/>
            <w:vAlign w:val="center"/>
          </w:tcPr>
          <w:p>
            <w:pPr>
              <w:spacing w:after="0"/>
            </w:pPr>
            <w:r/>
            <w:r>
              <w:rPr>
                <w:rFonts w:ascii="Aptos" w:hAnsi="Aptos"/>
                <w:b w:val="0"/>
                <w:color w:val="172B3A"/>
                <w:sz w:val="17"/>
              </w:rPr>
              <w:t>Higher is better under chosen metric.</w:t>
            </w:r>
          </w:p>
        </w:tc>
      </w:tr>
      <w:tr>
        <w:tc>
          <w:tcPr>
            <w:tcW w:type="dxa" w:w="2304"/>
            <w:vAlign w:val="center"/>
          </w:tcPr>
          <w:p>
            <w:pPr>
              <w:spacing w:after="0"/>
            </w:pPr>
            <w:r/>
            <w:r>
              <w:rPr>
                <w:rFonts w:ascii="Aptos" w:hAnsi="Aptos"/>
                <w:b w:val="0"/>
                <w:color w:val="172B3A"/>
                <w:sz w:val="17"/>
              </w:rPr>
              <w:t>Vulnerable-area coverage</w:t>
            </w:r>
          </w:p>
        </w:tc>
        <w:tc>
          <w:tcPr>
            <w:tcW w:type="dxa" w:w="2880"/>
            <w:vAlign w:val="center"/>
          </w:tcPr>
          <w:p>
            <w:pPr>
              <w:spacing w:after="0"/>
            </w:pPr>
            <w:r/>
            <w:r>
              <w:rPr>
                <w:rFonts w:ascii="Aptos" w:hAnsi="Aptos"/>
                <w:b w:val="0"/>
                <w:color w:val="172B3A"/>
                <w:sz w:val="17"/>
              </w:rPr>
              <w:t>Baseline</w:t>
            </w:r>
          </w:p>
        </w:tc>
        <w:tc>
          <w:tcPr>
            <w:tcW w:type="dxa" w:w="2880"/>
            <w:vAlign w:val="center"/>
          </w:tcPr>
          <w:p>
            <w:pPr>
              <w:spacing w:after="0"/>
            </w:pPr>
            <w:r/>
            <w:r>
              <w:rPr>
                <w:rFonts w:ascii="Aptos" w:hAnsi="Aptos"/>
                <w:b w:val="0"/>
                <w:color w:val="172B3A"/>
                <w:sz w:val="17"/>
              </w:rPr>
              <w:t>Need-aware</w:t>
            </w:r>
          </w:p>
        </w:tc>
        <w:tc>
          <w:tcPr>
            <w:tcW w:type="dxa" w:w="2448"/>
            <w:vAlign w:val="center"/>
          </w:tcPr>
          <w:p>
            <w:pPr>
              <w:spacing w:after="0"/>
            </w:pPr>
            <w:r/>
            <w:r>
              <w:rPr>
                <w:rFonts w:ascii="Aptos" w:hAnsi="Aptos"/>
                <w:b w:val="0"/>
                <w:color w:val="172B3A"/>
                <w:sz w:val="17"/>
              </w:rPr>
              <w:t>Higher is better.</w:t>
            </w:r>
          </w:p>
        </w:tc>
      </w:tr>
      <w:tr>
        <w:tc>
          <w:tcPr>
            <w:tcW w:type="dxa" w:w="2304"/>
            <w:vAlign w:val="center"/>
          </w:tcPr>
          <w:p>
            <w:pPr>
              <w:spacing w:after="0"/>
            </w:pPr>
            <w:r/>
            <w:r>
              <w:rPr>
                <w:rFonts w:ascii="Aptos" w:hAnsi="Aptos"/>
                <w:b w:val="0"/>
                <w:color w:val="172B3A"/>
                <w:sz w:val="17"/>
              </w:rPr>
              <w:t>Allocation explainability</w:t>
            </w:r>
          </w:p>
        </w:tc>
        <w:tc>
          <w:tcPr>
            <w:tcW w:type="dxa" w:w="2880"/>
            <w:vAlign w:val="center"/>
          </w:tcPr>
          <w:p>
            <w:pPr>
              <w:spacing w:after="0"/>
            </w:pPr>
            <w:r/>
            <w:r>
              <w:rPr>
                <w:rFonts w:ascii="Aptos" w:hAnsi="Aptos"/>
                <w:b w:val="0"/>
                <w:color w:val="172B3A"/>
                <w:sz w:val="17"/>
              </w:rPr>
              <w:t>Manual/implicit</w:t>
            </w:r>
          </w:p>
        </w:tc>
        <w:tc>
          <w:tcPr>
            <w:tcW w:type="dxa" w:w="2880"/>
            <w:vAlign w:val="center"/>
          </w:tcPr>
          <w:p>
            <w:pPr>
              <w:spacing w:after="0"/>
            </w:pPr>
            <w:r/>
            <w:r>
              <w:rPr>
                <w:rFonts w:ascii="Aptos" w:hAnsi="Aptos"/>
                <w:b w:val="0"/>
                <w:color w:val="172B3A"/>
                <w:sz w:val="17"/>
              </w:rPr>
              <w:t>Factor-level explanation</w:t>
            </w:r>
          </w:p>
        </w:tc>
        <w:tc>
          <w:tcPr>
            <w:tcW w:type="dxa" w:w="2448"/>
            <w:vAlign w:val="center"/>
          </w:tcPr>
          <w:p>
            <w:pPr>
              <w:spacing w:after="0"/>
            </w:pPr>
            <w:r/>
            <w:r>
              <w:rPr>
                <w:rFonts w:ascii="Aptos" w:hAnsi="Aptos"/>
                <w:b w:val="0"/>
                <w:color w:val="172B3A"/>
                <w:sz w:val="17"/>
              </w:rPr>
              <w:t>Qualitative + auditability measure.</w:t>
            </w:r>
          </w:p>
        </w:tc>
      </w:tr>
    </w:tbl>
    <w:p>
      <w:pPr>
        <w:spacing w:after="0"/>
      </w:pPr>
    </w:p>
    <w:p>
      <w:r>
        <w:t>The actual improvement percentages should be generated from the prototype simulation. They should not be fabricated in the PPT or report beforehand.</w:t>
      </w:r>
    </w:p>
    <w:p>
      <w:pPr>
        <w:pStyle w:val="Heading2"/>
      </w:pPr>
      <w:r>
        <w:t>10.2 Recommended equity metrics</w:t>
      </w:r>
    </w:p>
    <w:p>
      <w:pPr>
        <w:pStyle w:val="ListBullet"/>
        <w:spacing w:after="40"/>
        <w:ind w:left="317"/>
      </w:pPr>
      <w:r>
        <w:t>Demand satisfaction: delivered water divided by estimated need.</w:t>
      </w:r>
    </w:p>
    <w:p>
      <w:pPr>
        <w:pStyle w:val="ListBullet"/>
        <w:spacing w:after="40"/>
        <w:ind w:left="317"/>
      </w:pPr>
      <w:r>
        <w:t>Service gap: expected service minus actual service.</w:t>
      </w:r>
    </w:p>
    <w:p>
      <w:pPr>
        <w:pStyle w:val="ListBullet"/>
        <w:spacing w:after="40"/>
        <w:ind w:left="317"/>
      </w:pPr>
      <w:r>
        <w:t>Gini coefficient or another inequality statistic for distribution analysis, following published water-allocation research. [6]</w:t>
      </w:r>
    </w:p>
    <w:p>
      <w:pPr>
        <w:pStyle w:val="ListBullet"/>
        <w:spacing w:after="40"/>
        <w:ind w:left="317"/>
      </w:pPr>
      <w:r>
        <w:t>Vulnerability-weighted coverage: proportion of high-vulnerability communities meeting a defined service threshold.</w:t>
      </w:r>
    </w:p>
    <w:p>
      <w:pPr>
        <w:pStyle w:val="ListBullet"/>
        <w:spacing w:after="40"/>
        <w:ind w:left="317"/>
      </w:pPr>
      <w:r>
        <w:t>Repeat-service imbalance: frequency with which already-served communities receive additional allocations before underserved communities.</w:t>
      </w:r>
    </w:p>
    <w:p>
      <w:pPr>
        <w:pStyle w:val="Heading1"/>
      </w:pPr>
      <w:r>
        <w:t>11. Proposed Dashboard — Single-Screen Command Center</w:t>
      </w:r>
    </w:p>
    <w:p>
      <w:r>
        <w:t>The dashboard should be designed as a single-screen civic-tech operations center. The map is the primary visual surface; surrounding cards explain demand, decisions and outcomes.</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17354F"/>
          </w:tcPr>
          <w:p>
            <w:pPr>
              <w:spacing w:after="0"/>
            </w:pPr>
            <w:r/>
            <w:r>
              <w:rPr>
                <w:rFonts w:ascii="Aptos" w:hAnsi="Aptos"/>
                <w:b/>
                <w:color w:val="FFFFFF"/>
                <w:sz w:val="18"/>
              </w:rPr>
              <w:t>Component</w:t>
            </w:r>
          </w:p>
        </w:tc>
        <w:tc>
          <w:tcPr>
            <w:tcW w:type="dxa" w:w="4680"/>
            <w:vAlign w:val="center"/>
            <w:shd w:fill="17354F"/>
          </w:tcPr>
          <w:p>
            <w:pPr>
              <w:spacing w:after="0"/>
            </w:pPr>
            <w:r/>
            <w:r>
              <w:rPr>
                <w:rFonts w:ascii="Aptos" w:hAnsi="Aptos"/>
                <w:b/>
                <w:color w:val="FFFFFF"/>
                <w:sz w:val="18"/>
              </w:rPr>
              <w:t>Purpose</w:t>
            </w:r>
          </w:p>
        </w:tc>
        <w:tc>
          <w:tcPr>
            <w:tcW w:type="dxa" w:w="3528"/>
            <w:vAlign w:val="center"/>
            <w:shd w:fill="17354F"/>
          </w:tcPr>
          <w:p>
            <w:pPr>
              <w:spacing w:after="0"/>
            </w:pPr>
            <w:r/>
            <w:r>
              <w:rPr>
                <w:rFonts w:ascii="Aptos" w:hAnsi="Aptos"/>
                <w:b/>
                <w:color w:val="FFFFFF"/>
                <w:sz w:val="18"/>
              </w:rPr>
              <w:t>Visual treatment</w:t>
            </w:r>
          </w:p>
        </w:tc>
      </w:tr>
      <w:tr>
        <w:tc>
          <w:tcPr>
            <w:tcW w:type="dxa" w:w="2232"/>
            <w:vAlign w:val="center"/>
          </w:tcPr>
          <w:p>
            <w:pPr>
              <w:spacing w:after="0"/>
            </w:pPr>
            <w:r/>
            <w:r>
              <w:rPr>
                <w:rFonts w:ascii="Aptos" w:hAnsi="Aptos"/>
                <w:b w:val="0"/>
                <w:color w:val="172B3A"/>
                <w:sz w:val="17"/>
              </w:rPr>
              <w:t>Live community map</w:t>
            </w:r>
          </w:p>
        </w:tc>
        <w:tc>
          <w:tcPr>
            <w:tcW w:type="dxa" w:w="4680"/>
            <w:vAlign w:val="center"/>
          </w:tcPr>
          <w:p>
            <w:pPr>
              <w:spacing w:after="0"/>
            </w:pPr>
            <w:r/>
            <w:r>
              <w:rPr>
                <w:rFonts w:ascii="Aptos" w:hAnsi="Aptos"/>
                <w:b w:val="0"/>
                <w:color w:val="172B3A"/>
                <w:sz w:val="17"/>
              </w:rPr>
              <w:t>Show demand, vulnerability, service coverage, critical zones, complaints, tankers and routes.</w:t>
            </w:r>
          </w:p>
        </w:tc>
        <w:tc>
          <w:tcPr>
            <w:tcW w:type="dxa" w:w="3528"/>
            <w:vAlign w:val="center"/>
          </w:tcPr>
          <w:p>
            <w:pPr>
              <w:spacing w:after="0"/>
            </w:pPr>
            <w:r/>
            <w:r>
              <w:rPr>
                <w:rFonts w:ascii="Aptos" w:hAnsi="Aptos"/>
                <w:b w:val="0"/>
                <w:color w:val="172B3A"/>
                <w:sz w:val="17"/>
              </w:rPr>
              <w:t>Largest panel; layer controls and legend.</w:t>
            </w:r>
          </w:p>
        </w:tc>
      </w:tr>
      <w:tr>
        <w:tc>
          <w:tcPr>
            <w:tcW w:type="dxa" w:w="2232"/>
            <w:vAlign w:val="center"/>
          </w:tcPr>
          <w:p>
            <w:pPr>
              <w:spacing w:after="0"/>
            </w:pPr>
            <w:r/>
            <w:r>
              <w:rPr>
                <w:rFonts w:ascii="Aptos" w:hAnsi="Aptos"/>
                <w:b w:val="0"/>
                <w:color w:val="172B3A"/>
                <w:sz w:val="17"/>
              </w:rPr>
              <w:t>KPI row</w:t>
            </w:r>
          </w:p>
        </w:tc>
        <w:tc>
          <w:tcPr>
            <w:tcW w:type="dxa" w:w="4680"/>
            <w:vAlign w:val="center"/>
          </w:tcPr>
          <w:p>
            <w:pPr>
              <w:spacing w:after="0"/>
            </w:pPr>
            <w:r/>
            <w:r>
              <w:rPr>
                <w:rFonts w:ascii="Aptos" w:hAnsi="Aptos"/>
                <w:b w:val="0"/>
                <w:color w:val="172B3A"/>
                <w:sz w:val="17"/>
              </w:rPr>
              <w:t>Unmet demand, service equity, active tankers, critical communities, complaints.</w:t>
            </w:r>
          </w:p>
        </w:tc>
        <w:tc>
          <w:tcPr>
            <w:tcW w:type="dxa" w:w="3528"/>
            <w:vAlign w:val="center"/>
          </w:tcPr>
          <w:p>
            <w:pPr>
              <w:spacing w:after="0"/>
            </w:pPr>
            <w:r/>
            <w:r>
              <w:rPr>
                <w:rFonts w:ascii="Aptos" w:hAnsi="Aptos"/>
                <w:b w:val="0"/>
                <w:color w:val="172B3A"/>
                <w:sz w:val="17"/>
              </w:rPr>
              <w:t>Compact top cards.</w:t>
            </w:r>
          </w:p>
        </w:tc>
      </w:tr>
      <w:tr>
        <w:tc>
          <w:tcPr>
            <w:tcW w:type="dxa" w:w="2232"/>
            <w:vAlign w:val="center"/>
          </w:tcPr>
          <w:p>
            <w:pPr>
              <w:spacing w:after="0"/>
            </w:pPr>
            <w:r/>
            <w:r>
              <w:rPr>
                <w:rFonts w:ascii="Aptos" w:hAnsi="Aptos"/>
                <w:b w:val="0"/>
                <w:color w:val="172B3A"/>
                <w:sz w:val="17"/>
              </w:rPr>
              <w:t>Priority allocation</w:t>
            </w:r>
          </w:p>
        </w:tc>
        <w:tc>
          <w:tcPr>
            <w:tcW w:type="dxa" w:w="4680"/>
            <w:vAlign w:val="center"/>
          </w:tcPr>
          <w:p>
            <w:pPr>
              <w:spacing w:after="0"/>
            </w:pPr>
            <w:r/>
            <w:r>
              <w:rPr>
                <w:rFonts w:ascii="Aptos" w:hAnsi="Aptos"/>
                <w:b w:val="0"/>
                <w:color w:val="172B3A"/>
                <w:sz w:val="17"/>
              </w:rPr>
              <w:t>Show the next highest-priority localities.</w:t>
            </w:r>
          </w:p>
        </w:tc>
        <w:tc>
          <w:tcPr>
            <w:tcW w:type="dxa" w:w="3528"/>
            <w:vAlign w:val="center"/>
          </w:tcPr>
          <w:p>
            <w:pPr>
              <w:spacing w:after="0"/>
            </w:pPr>
            <w:r/>
            <w:r>
              <w:rPr>
                <w:rFonts w:ascii="Aptos" w:hAnsi="Aptos"/>
                <w:b w:val="0"/>
                <w:color w:val="172B3A"/>
                <w:sz w:val="17"/>
              </w:rPr>
              <w:t>Ranked list with score and reason.</w:t>
            </w:r>
          </w:p>
        </w:tc>
      </w:tr>
      <w:tr>
        <w:tc>
          <w:tcPr>
            <w:tcW w:type="dxa" w:w="2232"/>
            <w:vAlign w:val="center"/>
          </w:tcPr>
          <w:p>
            <w:pPr>
              <w:spacing w:after="0"/>
            </w:pPr>
            <w:r/>
            <w:r>
              <w:rPr>
                <w:rFonts w:ascii="Aptos" w:hAnsi="Aptos"/>
                <w:b w:val="0"/>
                <w:color w:val="172B3A"/>
                <w:sz w:val="17"/>
              </w:rPr>
              <w:t>Why this area?</w:t>
            </w:r>
          </w:p>
        </w:tc>
        <w:tc>
          <w:tcPr>
            <w:tcW w:type="dxa" w:w="4680"/>
            <w:vAlign w:val="center"/>
          </w:tcPr>
          <w:p>
            <w:pPr>
              <w:spacing w:after="0"/>
            </w:pPr>
            <w:r/>
            <w:r>
              <w:rPr>
                <w:rFonts w:ascii="Aptos" w:hAnsi="Aptos"/>
                <w:b w:val="0"/>
                <w:color w:val="172B3A"/>
                <w:sz w:val="17"/>
              </w:rPr>
              <w:t>Explain factor contribution to priority.</w:t>
            </w:r>
          </w:p>
        </w:tc>
        <w:tc>
          <w:tcPr>
            <w:tcW w:type="dxa" w:w="3528"/>
            <w:vAlign w:val="center"/>
          </w:tcPr>
          <w:p>
            <w:pPr>
              <w:spacing w:after="0"/>
            </w:pPr>
            <w:r/>
            <w:r>
              <w:rPr>
                <w:rFonts w:ascii="Aptos" w:hAnsi="Aptos"/>
                <w:b w:val="0"/>
                <w:color w:val="172B3A"/>
                <w:sz w:val="17"/>
              </w:rPr>
              <w:t>Large score + factor breakdown.</w:t>
            </w:r>
          </w:p>
        </w:tc>
      </w:tr>
      <w:tr>
        <w:tc>
          <w:tcPr>
            <w:tcW w:type="dxa" w:w="2232"/>
            <w:vAlign w:val="center"/>
          </w:tcPr>
          <w:p>
            <w:pPr>
              <w:spacing w:after="0"/>
            </w:pPr>
            <w:r/>
            <w:r>
              <w:rPr>
                <w:rFonts w:ascii="Aptos" w:hAnsi="Aptos"/>
                <w:b w:val="0"/>
                <w:color w:val="172B3A"/>
                <w:sz w:val="17"/>
              </w:rPr>
              <w:t>Service equity</w:t>
            </w:r>
          </w:p>
        </w:tc>
        <w:tc>
          <w:tcPr>
            <w:tcW w:type="dxa" w:w="4680"/>
            <w:vAlign w:val="center"/>
          </w:tcPr>
          <w:p>
            <w:pPr>
              <w:spacing w:after="0"/>
            </w:pPr>
            <w:r/>
            <w:r>
              <w:rPr>
                <w:rFonts w:ascii="Aptos" w:hAnsi="Aptos"/>
                <w:b w:val="0"/>
                <w:color w:val="172B3A"/>
                <w:sz w:val="17"/>
              </w:rPr>
              <w:t>Compare coverage between wards.</w:t>
            </w:r>
          </w:p>
        </w:tc>
        <w:tc>
          <w:tcPr>
            <w:tcW w:type="dxa" w:w="3528"/>
            <w:vAlign w:val="center"/>
          </w:tcPr>
          <w:p>
            <w:pPr>
              <w:spacing w:after="0"/>
            </w:pPr>
            <w:r/>
            <w:r>
              <w:rPr>
                <w:rFonts w:ascii="Aptos" w:hAnsi="Aptos"/>
                <w:b w:val="0"/>
                <w:color w:val="172B3A"/>
                <w:sz w:val="17"/>
              </w:rPr>
              <w:t>Bars / heatmap.</w:t>
            </w:r>
          </w:p>
        </w:tc>
      </w:tr>
      <w:tr>
        <w:tc>
          <w:tcPr>
            <w:tcW w:type="dxa" w:w="2232"/>
            <w:vAlign w:val="center"/>
          </w:tcPr>
          <w:p>
            <w:pPr>
              <w:spacing w:after="0"/>
            </w:pPr>
            <w:r/>
            <w:r>
              <w:rPr>
                <w:rFonts w:ascii="Aptos" w:hAnsi="Aptos"/>
                <w:b w:val="0"/>
                <w:color w:val="172B3A"/>
                <w:sz w:val="17"/>
              </w:rPr>
              <w:t>Community signals</w:t>
            </w:r>
          </w:p>
        </w:tc>
        <w:tc>
          <w:tcPr>
            <w:tcW w:type="dxa" w:w="4680"/>
            <w:vAlign w:val="center"/>
          </w:tcPr>
          <w:p>
            <w:pPr>
              <w:spacing w:after="0"/>
            </w:pPr>
            <w:r/>
            <w:r>
              <w:rPr>
                <w:rFonts w:ascii="Aptos" w:hAnsi="Aptos"/>
                <w:b w:val="0"/>
                <w:color w:val="172B3A"/>
                <w:sz w:val="17"/>
              </w:rPr>
              <w:t>Turn complaint clusters into alerts.</w:t>
            </w:r>
          </w:p>
        </w:tc>
        <w:tc>
          <w:tcPr>
            <w:tcW w:type="dxa" w:w="3528"/>
            <w:vAlign w:val="center"/>
          </w:tcPr>
          <w:p>
            <w:pPr>
              <w:spacing w:after="0"/>
            </w:pPr>
            <w:r/>
            <w:r>
              <w:rPr>
                <w:rFonts w:ascii="Aptos" w:hAnsi="Aptos"/>
                <w:b w:val="0"/>
                <w:color w:val="172B3A"/>
                <w:sz w:val="17"/>
              </w:rPr>
              <w:t>Signal cards with locality and evidence.</w:t>
            </w:r>
          </w:p>
        </w:tc>
      </w:tr>
      <w:tr>
        <w:tc>
          <w:tcPr>
            <w:tcW w:type="dxa" w:w="2232"/>
            <w:vAlign w:val="center"/>
          </w:tcPr>
          <w:p>
            <w:pPr>
              <w:spacing w:after="0"/>
            </w:pPr>
            <w:r/>
            <w:r>
              <w:rPr>
                <w:rFonts w:ascii="Aptos" w:hAnsi="Aptos"/>
                <w:b w:val="0"/>
                <w:color w:val="172B3A"/>
                <w:sz w:val="17"/>
              </w:rPr>
              <w:t>Prototype impact</w:t>
            </w:r>
          </w:p>
        </w:tc>
        <w:tc>
          <w:tcPr>
            <w:tcW w:type="dxa" w:w="4680"/>
            <w:vAlign w:val="center"/>
          </w:tcPr>
          <w:p>
            <w:pPr>
              <w:spacing w:after="0"/>
            </w:pPr>
            <w:r/>
            <w:r>
              <w:rPr>
                <w:rFonts w:ascii="Aptos" w:hAnsi="Aptos"/>
                <w:b w:val="0"/>
                <w:color w:val="172B3A"/>
                <w:sz w:val="17"/>
              </w:rPr>
              <w:t>Compare baseline vs proposed outcomes.</w:t>
            </w:r>
          </w:p>
        </w:tc>
        <w:tc>
          <w:tcPr>
            <w:tcW w:type="dxa" w:w="3528"/>
            <w:vAlign w:val="center"/>
          </w:tcPr>
          <w:p>
            <w:pPr>
              <w:spacing w:after="0"/>
            </w:pPr>
            <w:r/>
            <w:r>
              <w:rPr>
                <w:rFonts w:ascii="Aptos" w:hAnsi="Aptos"/>
                <w:b w:val="0"/>
                <w:color w:val="172B3A"/>
                <w:sz w:val="17"/>
              </w:rPr>
              <w:t>Before/after metrics.</w:t>
            </w:r>
          </w:p>
        </w:tc>
      </w:tr>
      <w:tr>
        <w:tc>
          <w:tcPr>
            <w:tcW w:type="dxa" w:w="2232"/>
            <w:vAlign w:val="center"/>
          </w:tcPr>
          <w:p>
            <w:pPr>
              <w:spacing w:after="0"/>
            </w:pPr>
            <w:r/>
            <w:r>
              <w:rPr>
                <w:rFonts w:ascii="Aptos" w:hAnsi="Aptos"/>
                <w:b w:val="0"/>
                <w:color w:val="172B3A"/>
                <w:sz w:val="17"/>
              </w:rPr>
              <w:t>Simulation control</w:t>
            </w:r>
          </w:p>
        </w:tc>
        <w:tc>
          <w:tcPr>
            <w:tcW w:type="dxa" w:w="4680"/>
            <w:vAlign w:val="center"/>
          </w:tcPr>
          <w:p>
            <w:pPr>
              <w:spacing w:after="0"/>
            </w:pPr>
            <w:r/>
            <w:r>
              <w:rPr>
                <w:rFonts w:ascii="Aptos" w:hAnsi="Aptos"/>
                <w:b w:val="0"/>
                <w:color w:val="172B3A"/>
                <w:sz w:val="17"/>
              </w:rPr>
              <w:t>Run allocation against a fixed scenario.</w:t>
            </w:r>
          </w:p>
        </w:tc>
        <w:tc>
          <w:tcPr>
            <w:tcW w:type="dxa" w:w="3528"/>
            <w:vAlign w:val="center"/>
          </w:tcPr>
          <w:p>
            <w:pPr>
              <w:spacing w:after="0"/>
            </w:pPr>
            <w:r/>
            <w:r>
              <w:rPr>
                <w:rFonts w:ascii="Aptos" w:hAnsi="Aptos"/>
                <w:b w:val="0"/>
                <w:color w:val="172B3A"/>
                <w:sz w:val="17"/>
              </w:rPr>
              <w:t>Single prominent action button.</w:t>
            </w:r>
          </w:p>
        </w:tc>
      </w:tr>
    </w:tbl>
    <w:p>
      <w:pPr>
        <w:spacing w:after="0"/>
      </w:pPr>
    </w:p>
    <w:tbl>
      <w:tblPr>
        <w:tblW w:type="auto" w:w="0"/>
        <w:jc w:val="center"/>
        <w:tblLook w:firstColumn="1" w:firstRow="1" w:lastColumn="0" w:lastRow="0" w:noHBand="0" w:noVBand="1" w:val="04A0"/>
      </w:tblPr>
      <w:tblGrid>
        <w:gridCol w:w="10166"/>
      </w:tblGrid>
      <w:tr>
        <w:tc>
          <w:tcPr>
            <w:tcW w:type="dxa" w:w="10166"/>
            <w:shd w:fill="EAF8F3"/>
          </w:tcPr>
          <w:p>
            <w:pPr>
              <w:spacing w:after="60"/>
            </w:pPr>
            <w:r>
              <w:rPr>
                <w:b/>
                <w:color w:val="1EAE7A"/>
                <w:sz w:val="18"/>
              </w:rPr>
              <w:t>PRIMARY USER QUESTION</w:t>
            </w:r>
          </w:p>
          <w:p>
            <w:pPr>
              <w:spacing w:after="0"/>
            </w:pPr>
            <w:r>
              <w:rPr>
                <w:color w:val="172B3A"/>
                <w:sz w:val="20"/>
              </w:rPr>
              <w:t>Where is water needed most right now, why, what should we send there, and did the last decision improve service equity?</w:t>
            </w:r>
          </w:p>
        </w:tc>
      </w:tr>
    </w:tbl>
    <w:p>
      <w:pPr>
        <w:pStyle w:val="Heading1"/>
      </w:pPr>
      <w:r>
        <w:t>12. Final Five-Slide PPT Content</w:t>
      </w:r>
    </w:p>
    <w:p>
      <w:r>
        <w:t>The following is concise, presentation-ready content mapped exactly to the five mandatory slides specified for the hackathon.</w:t>
      </w:r>
    </w:p>
    <w:p>
      <w:pPr>
        <w:pStyle w:val="Heading2"/>
      </w:pPr>
      <w:r>
        <w:t>Slide 1 — Problem + Solution</w:t>
      </w:r>
    </w:p>
    <w:tbl>
      <w:tblPr>
        <w:tblW w:type="auto" w:w="0"/>
        <w:jc w:val="center"/>
        <w:tblLook w:firstColumn="1" w:firstRow="1" w:lastColumn="0" w:lastRow="0" w:noHBand="0" w:noVBand="1" w:val="04A0"/>
      </w:tblPr>
      <w:tblGrid>
        <w:gridCol w:w="10166"/>
      </w:tblGrid>
      <w:tr>
        <w:tc>
          <w:tcPr>
            <w:tcW w:type="dxa" w:w="10166"/>
            <w:shd w:fill="FFF5E8"/>
          </w:tcPr>
          <w:p>
            <w:pPr>
              <w:spacing w:after="60"/>
            </w:pPr>
            <w:r>
              <w:rPr>
                <w:b/>
                <w:color w:val="E17F42"/>
                <w:sz w:val="18"/>
              </w:rPr>
              <w:t>PROBLEM</w:t>
            </w:r>
          </w:p>
          <w:p>
            <w:pPr>
              <w:spacing w:after="0"/>
            </w:pPr>
            <w:r>
              <w:rPr>
                <w:color w:val="172B3A"/>
                <w:sz w:val="20"/>
              </w:rPr>
              <w:t>Water scarcity + intermittent supply + fragmented requests/complaints can leave vulnerable and less-visible communities underserved while limited tanker resources are consumed unevenly.</w:t>
            </w:r>
          </w:p>
        </w:tc>
      </w:tr>
    </w:tbl>
    <w:tbl>
      <w:tblPr>
        <w:tblW w:type="auto" w:w="0"/>
        <w:jc w:val="center"/>
        <w:tblLook w:firstColumn="1" w:firstRow="1" w:lastColumn="0" w:lastRow="0" w:noHBand="0" w:noVBand="1" w:val="04A0"/>
      </w:tblPr>
      <w:tblGrid>
        <w:gridCol w:w="10166"/>
      </w:tblGrid>
      <w:tr>
        <w:tc>
          <w:tcPr>
            <w:tcW w:type="dxa" w:w="10166"/>
            <w:shd w:fill="EAF8F3"/>
          </w:tcPr>
          <w:p>
            <w:pPr>
              <w:spacing w:after="60"/>
            </w:pPr>
            <w:r>
              <w:rPr>
                <w:b/>
                <w:color w:val="1EAE7A"/>
                <w:sz w:val="18"/>
              </w:rPr>
              <w:t>SOLUTION</w:t>
            </w:r>
          </w:p>
          <w:p>
            <w:pPr>
              <w:spacing w:after="0"/>
            </w:pPr>
            <w:r>
              <w:rPr>
                <w:color w:val="172B3A"/>
                <w:sz w:val="20"/>
              </w:rPr>
              <w:t>A transparent allocation platform that combines population, vulnerability, unmet demand, previous service and distance to recommend where scarce water should go next — and explain why.</w:t>
            </w:r>
          </w:p>
        </w:tc>
      </w:tr>
    </w:tbl>
    <w:p>
      <w:pPr>
        <w:pStyle w:val="Heading2"/>
      </w:pPr>
      <w:r>
        <w:t>Slide 2 — Technical Approach</w:t>
      </w:r>
    </w:p>
    <w:p>
      <w:r>
        <w:t>Citizen / Field App → Requests + Complaints + GPS → Backend → Demand &amp; Vulnerability Analysis → Fair Allocation &amp; Optimization → Tanker Scheduling → GIS Dashboard → Delivery Feedback → Updated Priorities</w:t>
      </w:r>
    </w:p>
    <w:p>
      <w:r>
        <w:t>Suggested stack: Angular/Ionic, Spring Boot, PostgreSQL/PostGIS, Python, OpenStreetMap + routing engine, offline-assisted sync.</w:t>
      </w:r>
    </w:p>
    <w:p>
      <w:pPr>
        <w:pStyle w:val="Heading2"/>
      </w:pPr>
      <w:r>
        <w:t>Slide 3 — Feasibility &amp; Viability</w:t>
      </w:r>
    </w:p>
    <w:p>
      <w:pPr>
        <w:pStyle w:val="ListBullet"/>
        <w:spacing w:after="40"/>
        <w:ind w:left="317"/>
      </w:pPr>
      <w:r>
        <w:t>Technical: mature software/GIS/optimization stack; no specialized hardware required for MVP.</w:t>
      </w:r>
    </w:p>
    <w:p>
      <w:pPr>
        <w:pStyle w:val="ListBullet"/>
        <w:spacing w:after="40"/>
        <w:ind w:left="317"/>
      </w:pPr>
      <w:r>
        <w:t>Economic: low prototype infrastructure cost; software complements, rather than replaces, physical water infrastructure.</w:t>
      </w:r>
    </w:p>
    <w:p>
      <w:pPr>
        <w:pStyle w:val="ListBullet"/>
        <w:spacing w:after="40"/>
        <w:ind w:left="317"/>
      </w:pPr>
      <w:r>
        <w:t>Operational: ward-first pilot can coexist with existing tanker and grievance workflows.</w:t>
      </w:r>
    </w:p>
    <w:p>
      <w:pPr>
        <w:pStyle w:val="ListBullet"/>
        <w:spacing w:after="40"/>
        <w:ind w:left="317"/>
      </w:pPr>
      <w:r>
        <w:t>Social: multilingual, voice/assisted and offline-assisted access reduces digital exclusion.</w:t>
      </w:r>
    </w:p>
    <w:p>
      <w:pPr>
        <w:pStyle w:val="ListBullet"/>
        <w:spacing w:after="40"/>
        <w:ind w:left="317"/>
      </w:pPr>
      <w:r>
        <w:t>Scalability: Ward → Zone → City → District.</w:t>
      </w:r>
    </w:p>
    <w:p>
      <w:pPr>
        <w:pStyle w:val="ListBullet"/>
        <w:spacing w:after="40"/>
        <w:ind w:left="317"/>
      </w:pPr>
      <w:r>
        <w:t>Data: prototype uses public/synthetic data; real deployment requires validated municipal data.</w:t>
      </w:r>
    </w:p>
    <w:p>
      <w:pPr>
        <w:pStyle w:val="Heading2"/>
      </w:pPr>
      <w:r>
        <w:t>Slide 4 — Impact &amp; Benefits</w:t>
      </w:r>
    </w:p>
    <w:p>
      <w:r>
        <w:t>Primary measurable outcomes:</w:t>
      </w:r>
    </w:p>
    <w:p>
      <w:pPr>
        <w:pStyle w:val="ListBullet"/>
        <w:spacing w:after="40"/>
        <w:ind w:left="317"/>
      </w:pPr>
      <w:r>
        <w:t>Reduced unmet requests</w:t>
      </w:r>
    </w:p>
    <w:p>
      <w:pPr>
        <w:pStyle w:val="ListBullet"/>
        <w:spacing w:after="40"/>
        <w:ind w:left="317"/>
      </w:pPr>
      <w:r>
        <w:t>Reduced tanker travel distance</w:t>
      </w:r>
    </w:p>
    <w:p>
      <w:pPr>
        <w:pStyle w:val="ListBullet"/>
        <w:spacing w:after="40"/>
        <w:ind w:left="317"/>
      </w:pPr>
      <w:r>
        <w:t>Reduced duplicate requests</w:t>
      </w:r>
    </w:p>
    <w:p>
      <w:pPr>
        <w:pStyle w:val="ListBullet"/>
        <w:spacing w:after="40"/>
        <w:ind w:left="317"/>
      </w:pPr>
      <w:r>
        <w:t>Improved service equity</w:t>
      </w:r>
    </w:p>
    <w:p>
      <w:pPr>
        <w:pStyle w:val="ListBullet"/>
        <w:spacing w:after="40"/>
        <w:ind w:left="317"/>
      </w:pPr>
      <w:r>
        <w:t>Improved vulnerable-area coverage</w:t>
      </w:r>
    </w:p>
    <w:p>
      <w:pPr>
        <w:pStyle w:val="ListBullet"/>
        <w:spacing w:after="40"/>
        <w:ind w:left="317"/>
      </w:pPr>
      <w:r>
        <w:t>Greater allocation transparency</w:t>
      </w:r>
    </w:p>
    <w:p>
      <w:pPr>
        <w:pStyle w:val="ListBullet"/>
        <w:spacing w:after="40"/>
        <w:ind w:left="317"/>
      </w:pPr>
      <w:r>
        <w:t>Earlier detection of emerging community shortages</w:t>
      </w:r>
    </w:p>
    <w:p>
      <w:r>
        <w:t>Evaluation method: compare first-come-first-served allocation against the proposed method on the same dataset.</w:t>
      </w:r>
    </w:p>
    <w:p>
      <w:pPr>
        <w:pStyle w:val="Heading2"/>
      </w:pPr>
      <w:r>
        <w:t>Slide 5 — Research &amp; References</w:t>
      </w:r>
    </w:p>
    <w:p>
      <w:r>
        <w:t>Use a concise reference set covering: World Bank India water scarcity and urban growth; MoHUA service benchmarks; HMWSSB and NDMC existing systems; UN-Habitat urban water demand; UNICEF household burden; fairness/efficiency allocation research; tanker optimization research; complaint-management research; GIS inequality research; PUB Singapore and Cape Town case studies.</w:t>
      </w:r>
    </w:p>
    <w:p>
      <w:pPr>
        <w:pStyle w:val="Heading1"/>
      </w:pPr>
      <w:r>
        <w:t>13. Novelty Strategy — How to Make PS 11 Distinct</w:t>
      </w:r>
    </w:p>
    <w:p>
      <w:r>
        <w:t>The system should be presented as an augmentation layer over existing digital water services, not as a claim that no digital water system exists.</w:t>
      </w:r>
    </w:p>
    <w:tbl>
      <w:tblPr>
        <w:tblStyle w:val="TableGrid"/>
        <w:tblW w:type="auto" w:w="0"/>
        <w:jc w:val="center"/>
        <w:tblLook w:firstColumn="1" w:firstRow="1" w:lastColumn="0" w:lastRow="0" w:noHBand="0" w:noVBand="1" w:val="04A0"/>
      </w:tblPr>
      <w:tblGrid>
        <w:gridCol w:w="5083"/>
        <w:gridCol w:w="5083"/>
      </w:tblGrid>
      <w:tr>
        <w:tc>
          <w:tcPr>
            <w:tcW w:type="dxa" w:w="4320"/>
            <w:vAlign w:val="center"/>
            <w:shd w:fill="17354F"/>
          </w:tcPr>
          <w:p>
            <w:pPr>
              <w:spacing w:after="0"/>
            </w:pPr>
            <w:r/>
            <w:r>
              <w:rPr>
                <w:rFonts w:ascii="Aptos" w:hAnsi="Aptos"/>
                <w:b/>
                <w:color w:val="FFFFFF"/>
                <w:sz w:val="18"/>
              </w:rPr>
              <w:t>Do not pitch as</w:t>
            </w:r>
          </w:p>
        </w:tc>
        <w:tc>
          <w:tcPr>
            <w:tcW w:type="dxa" w:w="5760"/>
            <w:vAlign w:val="center"/>
            <w:shd w:fill="17354F"/>
          </w:tcPr>
          <w:p>
            <w:pPr>
              <w:spacing w:after="0"/>
            </w:pPr>
            <w:r/>
            <w:r>
              <w:rPr>
                <w:rFonts w:ascii="Aptos" w:hAnsi="Aptos"/>
                <w:b/>
                <w:color w:val="FFFFFF"/>
                <w:sz w:val="18"/>
              </w:rPr>
              <w:t>Pitch as instead</w:t>
            </w:r>
          </w:p>
        </w:tc>
      </w:tr>
      <w:tr>
        <w:tc>
          <w:tcPr>
            <w:tcW w:type="dxa" w:w="4320"/>
            <w:vAlign w:val="center"/>
          </w:tcPr>
          <w:p>
            <w:pPr>
              <w:spacing w:after="0"/>
            </w:pPr>
            <w:r/>
            <w:r>
              <w:rPr>
                <w:rFonts w:ascii="Aptos" w:hAnsi="Aptos"/>
                <w:b w:val="0"/>
                <w:color w:val="172B3A"/>
                <w:sz w:val="17"/>
              </w:rPr>
              <w:t>A tanker booking app</w:t>
            </w:r>
          </w:p>
        </w:tc>
        <w:tc>
          <w:tcPr>
            <w:tcW w:type="dxa" w:w="5760"/>
            <w:vAlign w:val="center"/>
          </w:tcPr>
          <w:p>
            <w:pPr>
              <w:spacing w:after="0"/>
            </w:pPr>
            <w:r/>
            <w:r>
              <w:rPr>
                <w:rFonts w:ascii="Aptos" w:hAnsi="Aptos"/>
                <w:b w:val="0"/>
                <w:color w:val="172B3A"/>
                <w:sz w:val="17"/>
              </w:rPr>
              <w:t>A transparent scarce-resource allocation engine.</w:t>
            </w:r>
          </w:p>
        </w:tc>
      </w:tr>
      <w:tr>
        <w:tc>
          <w:tcPr>
            <w:tcW w:type="dxa" w:w="4320"/>
            <w:vAlign w:val="center"/>
          </w:tcPr>
          <w:p>
            <w:pPr>
              <w:spacing w:after="0"/>
            </w:pPr>
            <w:r/>
            <w:r>
              <w:rPr>
                <w:rFonts w:ascii="Aptos" w:hAnsi="Aptos"/>
                <w:b w:val="0"/>
                <w:color w:val="172B3A"/>
                <w:sz w:val="17"/>
              </w:rPr>
              <w:t>A complaint-management portal</w:t>
            </w:r>
          </w:p>
        </w:tc>
        <w:tc>
          <w:tcPr>
            <w:tcW w:type="dxa" w:w="5760"/>
            <w:vAlign w:val="center"/>
          </w:tcPr>
          <w:p>
            <w:pPr>
              <w:spacing w:after="0"/>
            </w:pPr>
            <w:r/>
            <w:r>
              <w:rPr>
                <w:rFonts w:ascii="Aptos" w:hAnsi="Aptos"/>
                <w:b w:val="0"/>
                <w:color w:val="172B3A"/>
                <w:sz w:val="17"/>
              </w:rPr>
              <w:t>A complaint-to-community-signal intelligence layer.</w:t>
            </w:r>
          </w:p>
        </w:tc>
      </w:tr>
      <w:tr>
        <w:tc>
          <w:tcPr>
            <w:tcW w:type="dxa" w:w="4320"/>
            <w:vAlign w:val="center"/>
          </w:tcPr>
          <w:p>
            <w:pPr>
              <w:spacing w:after="0"/>
            </w:pPr>
            <w:r/>
            <w:r>
              <w:rPr>
                <w:rFonts w:ascii="Aptos" w:hAnsi="Aptos"/>
                <w:b w:val="0"/>
                <w:color w:val="172B3A"/>
                <w:sz w:val="17"/>
              </w:rPr>
              <w:t>An AI water predictor</w:t>
            </w:r>
          </w:p>
        </w:tc>
        <w:tc>
          <w:tcPr>
            <w:tcW w:type="dxa" w:w="5760"/>
            <w:vAlign w:val="center"/>
          </w:tcPr>
          <w:p>
            <w:pPr>
              <w:spacing w:after="0"/>
            </w:pPr>
            <w:r/>
            <w:r>
              <w:rPr>
                <w:rFonts w:ascii="Aptos" w:hAnsi="Aptos"/>
                <w:b w:val="0"/>
                <w:color w:val="172B3A"/>
                <w:sz w:val="17"/>
              </w:rPr>
              <w:t>A need-aware allocation and optimization platform with optional forecasting.</w:t>
            </w:r>
          </w:p>
        </w:tc>
      </w:tr>
      <w:tr>
        <w:tc>
          <w:tcPr>
            <w:tcW w:type="dxa" w:w="4320"/>
            <w:vAlign w:val="center"/>
          </w:tcPr>
          <w:p>
            <w:pPr>
              <w:spacing w:after="0"/>
            </w:pPr>
            <w:r/>
            <w:r>
              <w:rPr>
                <w:rFonts w:ascii="Aptos" w:hAnsi="Aptos"/>
                <w:b w:val="0"/>
                <w:color w:val="172B3A"/>
                <w:sz w:val="17"/>
              </w:rPr>
              <w:t>A GPS tanker tracker</w:t>
            </w:r>
          </w:p>
        </w:tc>
        <w:tc>
          <w:tcPr>
            <w:tcW w:type="dxa" w:w="5760"/>
            <w:vAlign w:val="center"/>
          </w:tcPr>
          <w:p>
            <w:pPr>
              <w:spacing w:after="0"/>
            </w:pPr>
            <w:r/>
            <w:r>
              <w:rPr>
                <w:rFonts w:ascii="Aptos" w:hAnsi="Aptos"/>
                <w:b w:val="0"/>
                <w:color w:val="172B3A"/>
                <w:sz w:val="17"/>
              </w:rPr>
              <w:t>A GIS command layer linking need, allocation and delivery.</w:t>
            </w:r>
          </w:p>
        </w:tc>
      </w:tr>
      <w:tr>
        <w:tc>
          <w:tcPr>
            <w:tcW w:type="dxa" w:w="4320"/>
            <w:vAlign w:val="center"/>
          </w:tcPr>
          <w:p>
            <w:pPr>
              <w:spacing w:after="0"/>
            </w:pPr>
            <w:r/>
            <w:r>
              <w:rPr>
                <w:rFonts w:ascii="Aptos" w:hAnsi="Aptos"/>
                <w:b w:val="0"/>
                <w:color w:val="172B3A"/>
                <w:sz w:val="17"/>
              </w:rPr>
              <w:t>A generic dashboard</w:t>
            </w:r>
          </w:p>
        </w:tc>
        <w:tc>
          <w:tcPr>
            <w:tcW w:type="dxa" w:w="5760"/>
            <w:vAlign w:val="center"/>
          </w:tcPr>
          <w:p>
            <w:pPr>
              <w:spacing w:after="0"/>
            </w:pPr>
            <w:r/>
            <w:r>
              <w:rPr>
                <w:rFonts w:ascii="Aptos" w:hAnsi="Aptos"/>
                <w:b w:val="0"/>
                <w:color w:val="172B3A"/>
                <w:sz w:val="17"/>
              </w:rPr>
              <w:t>A decision dashboard that explains every allocation and measures equity outcomes.</w:t>
            </w:r>
          </w:p>
        </w:tc>
      </w:tr>
    </w:tbl>
    <w:p>
      <w:pPr>
        <w:spacing w:after="0"/>
      </w:pPr>
    </w:p>
    <w:p>
      <w:pPr>
        <w:pStyle w:val="Heading2"/>
      </w:pPr>
      <w:r>
        <w:t>13.1 Defensible novelty statement</w:t>
      </w:r>
    </w:p>
    <w:tbl>
      <w:tblPr>
        <w:tblW w:type="auto" w:w="0"/>
        <w:jc w:val="center"/>
        <w:tblLook w:firstColumn="1" w:firstRow="1" w:lastColumn="0" w:lastRow="0" w:noHBand="0" w:noVBand="1" w:val="04A0"/>
      </w:tblPr>
      <w:tblGrid>
        <w:gridCol w:w="10166"/>
      </w:tblGrid>
      <w:tr>
        <w:tc>
          <w:tcPr>
            <w:tcW w:type="dxa" w:w="10166"/>
            <w:shd w:fill="EAF5FA"/>
          </w:tcPr>
          <w:p>
            <w:pPr>
              <w:spacing w:after="60"/>
            </w:pPr>
            <w:r>
              <w:rPr>
                <w:b/>
                <w:color w:val="168CB8"/>
                <w:sz w:val="18"/>
              </w:rPr>
              <w:t>NOVELTY</w:t>
            </w:r>
          </w:p>
          <w:p>
            <w:pPr>
              <w:spacing w:after="0"/>
            </w:pPr>
            <w:r>
              <w:rPr>
                <w:color w:val="172B3A"/>
                <w:sz w:val="20"/>
              </w:rPr>
              <w:t>The differentiation is the integration of vulnerability-aware prioritization, historical service balancing, explainable allocation, complaint clustering and measurable service-equity evaluation into one operational decision layer.</w:t>
            </w:r>
          </w:p>
        </w:tc>
      </w:tr>
    </w:tbl>
    <w:p>
      <w:pPr>
        <w:pStyle w:val="Heading1"/>
      </w:pPr>
      <w:r>
        <w:t>14. Conclusion</w:t>
      </w:r>
    </w:p>
    <w:p>
      <w:r>
        <w:t>PS 11 is a strong hackathon problem because it combines a high-impact real-world need with a well-bounded technical challenge. The problem is not merely the absence of an app: it is the difficulty of making fair, transparent and operationally useful decisions when water demand exceeds immediately available response capacity.</w:t>
      </w:r>
    </w:p>
    <w:p>
      <w:r>
        <w:t>The research shows that three separate technical capabilities already have strong precedent: fairness-aware water allocation, tanker scheduling/optimization and GIS-based inequality analysis. Complaint-management research adds a fourth insight: complaint records can become system-wide signals, but they are not always used that way. [5][6][7][15][20]</w:t>
      </w:r>
    </w:p>
    <w:p>
      <w:r>
        <w:t>The proposed WaterFlow architecture therefore combines these ideas into an explainable municipal decision-support layer. Its credibility should come from a measurable experiment: compare first-come-first-served allocation against the proposed method and report changes in unmet demand, travel distance, vulnerable-area coverage and service equity.</w:t>
      </w:r>
    </w:p>
    <w:tbl>
      <w:tblPr>
        <w:tblW w:type="auto" w:w="0"/>
        <w:jc w:val="center"/>
        <w:tblLook w:firstColumn="1" w:firstRow="1" w:lastColumn="0" w:lastRow="0" w:noHBand="0" w:noVBand="1" w:val="04A0"/>
      </w:tblPr>
      <w:tblGrid>
        <w:gridCol w:w="10166"/>
      </w:tblGrid>
      <w:tr>
        <w:tc>
          <w:tcPr>
            <w:tcW w:type="dxa" w:w="10166"/>
            <w:shd w:fill="EAF8F3"/>
          </w:tcPr>
          <w:p>
            <w:pPr>
              <w:spacing w:after="60"/>
            </w:pPr>
            <w:r>
              <w:rPr>
                <w:b/>
                <w:color w:val="1EAE7A"/>
                <w:sz w:val="18"/>
              </w:rPr>
              <w:t>FINAL PRODUCT DEFINITION</w:t>
            </w:r>
          </w:p>
          <w:p>
            <w:pPr>
              <w:spacing w:after="0"/>
            </w:pPr>
            <w:r>
              <w:rPr>
                <w:color w:val="172B3A"/>
                <w:sz w:val="20"/>
              </w:rPr>
              <w:t>WaterFlow helps authorities decide where scarce water should go next, explains the decision, routes the available resources, and measures whether communities became better served.</w:t>
            </w:r>
          </w:p>
        </w:tc>
      </w:tr>
    </w:tbl>
    <w:p>
      <w:r>
        <w:br w:type="page"/>
      </w:r>
    </w:p>
    <w:p>
      <w:pPr>
        <w:pStyle w:val="Heading1"/>
      </w:pPr>
      <w:r>
        <w:t>15. Research Source Register</w:t>
      </w:r>
    </w:p>
    <w:p>
      <w:r>
        <w:t>Sources are grouped by evidence type. URLs are included for verification. Current or time-sensitive facts should be rechecked immediately before final submission.</w:t>
      </w:r>
    </w:p>
    <w:p>
      <w:pPr>
        <w:spacing w:after="80"/>
      </w:pPr>
      <w:r>
        <w:rPr>
          <w:b/>
        </w:rPr>
        <w:t xml:space="preserve">[1] Water: Driving Jobs and Prosperity. </w:t>
      </w:r>
      <w:r>
        <w:t xml:space="preserve">World Bank, 19 March 2026. </w:t>
      </w:r>
      <w:r>
        <w:t xml:space="preserve">India water/population imbalance, water stress, rainfall seasonality, per-capita availability and 2050 urban population. </w:t>
      </w:r>
      <w:r>
        <w:rPr>
          <w:color w:val="168CB8"/>
          <w:u w:val="single"/>
        </w:rPr>
        <w:t>https://www.worldbank.org/en/brief/2026/03/19/how-india-is-addressing-its-water-needs</w:t>
      </w:r>
    </w:p>
    <w:p>
      <w:pPr>
        <w:spacing w:after="80"/>
      </w:pPr>
      <w:r>
        <w:rPr>
          <w:b/>
        </w:rPr>
        <w:t xml:space="preserve">[2] Service Level Benchmarking – Water Supply Services. </w:t>
      </w:r>
      <w:r>
        <w:t xml:space="preserve">Ministry of Housing &amp; Urban Affairs, Government of India, Benchmark document. </w:t>
      </w:r>
      <w:r>
        <w:t xml:space="preserve">National benchmarks including 135 lpcd, 24-hour continuity and 80% complaint-redressal efficiency. </w:t>
      </w:r>
      <w:r>
        <w:rPr>
          <w:color w:val="168CB8"/>
          <w:u w:val="single"/>
        </w:rPr>
        <w:t>https://www.mohua.gov.in/upload/uploadfiles/files/databook.pdf</w:t>
      </w:r>
    </w:p>
    <w:p>
      <w:pPr>
        <w:spacing w:after="80"/>
      </w:pPr>
      <w:r>
        <w:rPr>
          <w:b/>
        </w:rPr>
        <w:t xml:space="preserve">[3] HMWSSB Citizen Services. </w:t>
      </w:r>
      <w:r>
        <w:t xml:space="preserve">Hyderabad Metropolitan Water Supply and Sewerage Board / Apple App Store, Current listing accessed September 2026. </w:t>
      </w:r>
      <w:r>
        <w:t xml:space="preserve">Tanker booking, grievances, tanker status, complaints status and bilingual interface. </w:t>
      </w:r>
      <w:r>
        <w:rPr>
          <w:color w:val="168CB8"/>
          <w:u w:val="single"/>
        </w:rPr>
        <w:t>https://apps.apple.com/in/app/hmwssb-citizen-services/id6747804367</w:t>
      </w:r>
    </w:p>
    <w:p>
      <w:pPr>
        <w:spacing w:after="80"/>
      </w:pPr>
      <w:r>
        <w:rPr>
          <w:b/>
        </w:rPr>
        <w:t xml:space="preserve">[4] Online Water Tanker / Trolley Booking. </w:t>
      </w:r>
      <w:r>
        <w:t xml:space="preserve">New Delhi Municipal Council, Current site accessed September 2026. </w:t>
      </w:r>
      <w:r>
        <w:t xml:space="preserve">Online tanker/trolley booking workflow. </w:t>
      </w:r>
      <w:r>
        <w:rPr>
          <w:color w:val="168CB8"/>
          <w:u w:val="single"/>
        </w:rPr>
        <w:t>https://online.ndmc.gov.in/waterb/</w:t>
      </w:r>
    </w:p>
    <w:p>
      <w:pPr>
        <w:spacing w:after="80"/>
      </w:pPr>
      <w:r>
        <w:rPr>
          <w:b/>
        </w:rPr>
        <w:t xml:space="preserve">[5] The limits to equity in water allocation under scarcity. </w:t>
      </w:r>
      <w:r>
        <w:t xml:space="preserve">Journal of Hydrology / Elsevier, August 2024. </w:t>
      </w:r>
      <w:r>
        <w:t xml:space="preserve">Equity/reliability analysis and allocation-mechanism limits. </w:t>
      </w:r>
      <w:r>
        <w:rPr>
          <w:color w:val="168CB8"/>
          <w:u w:val="single"/>
        </w:rPr>
        <w:t>https://www.sciencedirect.com/science/article/abs/pii/S0022169424010278</w:t>
      </w:r>
    </w:p>
    <w:p>
      <w:pPr>
        <w:spacing w:after="80"/>
      </w:pPr>
      <w:r>
        <w:rPr>
          <w:b/>
        </w:rPr>
        <w:t xml:space="preserve">[6] Integrated model for optimal scheduling and allocation of water resources considering fairness and efficiency: A case study of the Yellow River Basin. </w:t>
      </w:r>
      <w:r>
        <w:t xml:space="preserve">Journal of Hydrology / Elsevier, 2023. </w:t>
      </w:r>
      <w:r>
        <w:t xml:space="preserve">Fairness/efficiency optimization and Gini-based fairness analysis. </w:t>
      </w:r>
      <w:r>
        <w:rPr>
          <w:color w:val="168CB8"/>
          <w:u w:val="single"/>
        </w:rPr>
        <w:t>https://www.sciencedirect.com/science/article/pii/S0022169423011782</w:t>
      </w:r>
    </w:p>
    <w:p>
      <w:pPr>
        <w:spacing w:after="80"/>
      </w:pPr>
      <w:r>
        <w:rPr>
          <w:b/>
        </w:rPr>
        <w:t xml:space="preserve">[7] A Short-Term Planning Framework for the Operation of Tanker-Based Water Distribution Systems in Urban Areas. </w:t>
      </w:r>
      <w:r>
        <w:t xml:space="preserve">Industrial &amp; Engineering Chemistry Research / ACS; authors include IIT Bombay researchers, 2020. </w:t>
      </w:r>
      <w:r>
        <w:t xml:space="preserve">MILP tanker scheduling under water supply, demand, quality and transportation constraints. </w:t>
      </w:r>
      <w:r>
        <w:rPr>
          <w:color w:val="168CB8"/>
          <w:u w:val="single"/>
        </w:rPr>
        <w:t>https://pubs.acs.org/doi/10.1021/acs.iecr.0c00303</w:t>
      </w:r>
    </w:p>
    <w:p>
      <w:pPr>
        <w:spacing w:after="80"/>
      </w:pPr>
      <w:r>
        <w:rPr>
          <w:b/>
        </w:rPr>
        <w:t xml:space="preserve">[8] Why the world's water crisis is increasingly an urban challenge. </w:t>
      </w:r>
      <w:r>
        <w:t xml:space="preserve">UN-Habitat, 2 February 2026. </w:t>
      </w:r>
      <w:r>
        <w:t xml:space="preserve">50–70% urban water-demand growth projection and 1.9 billion seasonal-shortage projection by 2050. </w:t>
      </w:r>
      <w:r>
        <w:rPr>
          <w:color w:val="168CB8"/>
          <w:u w:val="single"/>
        </w:rPr>
        <w:t>https://unhabitat.org/news/02-feb-2026/why-the-worlds-water-crisis-is-increasingly-an-urban-challenge</w:t>
      </w:r>
    </w:p>
    <w:p>
      <w:pPr>
        <w:spacing w:after="80"/>
      </w:pPr>
      <w:r>
        <w:rPr>
          <w:b/>
        </w:rPr>
        <w:t xml:space="preserve">[9] An urgent call to action to accelerate progress on ensuring safe drinking water for all. </w:t>
      </w:r>
      <w:r>
        <w:t xml:space="preserve">WHO/UNICEF Joint Monitoring Programme, 2022. </w:t>
      </w:r>
      <w:r>
        <w:t xml:space="preserve">India off-premises water collection and 50 million person-hours figure. </w:t>
      </w:r>
      <w:r>
        <w:rPr>
          <w:color w:val="168CB8"/>
          <w:u w:val="single"/>
        </w:rPr>
        <w:t>https://data.unicef.org/wp-content/uploads/2022/10/State-of-drinking-water-report.pdf</w:t>
      </w:r>
    </w:p>
    <w:p>
      <w:pPr>
        <w:spacing w:after="80"/>
      </w:pPr>
      <w:r>
        <w:rPr>
          <w:b/>
        </w:rPr>
        <w:t xml:space="preserve">[10] Clean drinking water. </w:t>
      </w:r>
      <w:r>
        <w:t xml:space="preserve">UNICEF India, Current page accessed September 2026. </w:t>
      </w:r>
      <w:r>
        <w:t xml:space="preserve">Rural women water-collection time and social burden. </w:t>
      </w:r>
      <w:r>
        <w:rPr>
          <w:color w:val="168CB8"/>
          <w:u w:val="single"/>
        </w:rPr>
        <w:t>https://www.unicef.org/india/what-we-do/clean-drinking-water</w:t>
      </w:r>
    </w:p>
    <w:p>
      <w:pPr>
        <w:spacing w:after="80"/>
      </w:pPr>
      <w:r>
        <w:rPr>
          <w:b/>
        </w:rPr>
        <w:t xml:space="preserve">[11] Urban Resilience India. </w:t>
      </w:r>
      <w:r>
        <w:t xml:space="preserve">World Bank, 2025. </w:t>
      </w:r>
      <w:r>
        <w:t xml:space="preserve">65.5 million people in informal urban neighbourhoods in the 2011 Census; urban vulnerability context. </w:t>
      </w:r>
      <w:r>
        <w:rPr>
          <w:color w:val="168CB8"/>
          <w:u w:val="single"/>
        </w:rPr>
        <w:t>https://thedocs.worldbank.org/en/doc/d67ef885fc1c5b4ca43cf4465b3e7241-0310012025/original/Urban-Resilience-India.pdf</w:t>
      </w:r>
    </w:p>
    <w:p>
      <w:pPr>
        <w:spacing w:after="80"/>
      </w:pPr>
      <w:r>
        <w:rPr>
          <w:b/>
        </w:rPr>
        <w:t xml:space="preserve">[12] As lake levels drop, private tanker prices surge. </w:t>
      </w:r>
      <w:r>
        <w:t xml:space="preserve">The Indian Express, June 2026. </w:t>
      </w:r>
      <w:r>
        <w:t xml:space="preserve">Reported Mumbai private tanker prices during June 2026 shortage. </w:t>
      </w:r>
      <w:r>
        <w:rPr>
          <w:color w:val="168CB8"/>
          <w:u w:val="single"/>
        </w:rPr>
        <w:t>https://indianexpress.com/article/cities/mumbai/water-crisis-lake-levels-drop-private-tanker-prices-surge-bmc-restrictions-10746679/</w:t>
      </w:r>
    </w:p>
    <w:p>
      <w:pPr>
        <w:spacing w:after="80"/>
      </w:pPr>
      <w:r>
        <w:rPr>
          <w:b/>
        </w:rPr>
        <w:t xml:space="preserve">[13] As tankers' strike begins, Mumbai housing societies forced to pay up to 2x for water. </w:t>
      </w:r>
      <w:r>
        <w:t xml:space="preserve">The Times of India, June 2026. </w:t>
      </w:r>
      <w:r>
        <w:t xml:space="preserve">Reported 20,000-litre tanker price increase during shortage/strike. </w:t>
      </w:r>
      <w:r>
        <w:rPr>
          <w:color w:val="168CB8"/>
          <w:u w:val="single"/>
        </w:rPr>
        <w:t>https://timesofindia.indiatimes.com/city/mumbai/as-tankers-strike-begins-mumbai-housing-societies-forced-to-pay-up-to-2x-for-water/amp_articleshow/131594542.cms</w:t>
      </w:r>
    </w:p>
    <w:p>
      <w:pPr>
        <w:spacing w:after="80"/>
      </w:pPr>
      <w:r>
        <w:rPr>
          <w:b/>
        </w:rPr>
        <w:t xml:space="preserve">[14] Mumbai water tanker OTP booking policy. </w:t>
      </w:r>
      <w:r>
        <w:t xml:space="preserve">The Indian Express, 2026. </w:t>
      </w:r>
      <w:r>
        <w:t xml:space="preserve">Reported OTP-based tanker booking and digital monitoring direction. </w:t>
      </w:r>
      <w:r>
        <w:rPr>
          <w:color w:val="168CB8"/>
          <w:u w:val="single"/>
        </w:rPr>
        <w:t>https://indianexpress.com/article/cities/mumbai/mumbai-water-tanker-otp-booking-policy-10730404/</w:t>
      </w:r>
    </w:p>
    <w:p>
      <w:pPr>
        <w:spacing w:after="80"/>
      </w:pPr>
      <w:r>
        <w:rPr>
          <w:b/>
        </w:rPr>
        <w:t xml:space="preserve">[15] Customer complaint management and smart technology adoption by community water systems. </w:t>
      </w:r>
      <w:r>
        <w:t xml:space="preserve">Journal of Urban Affairs / Elsevier, 2023. </w:t>
      </w:r>
      <w:r>
        <w:t xml:space="preserve">Survey of 504 community water systems; less than half used complaint data for system-wide trends. </w:t>
      </w:r>
      <w:r>
        <w:rPr>
          <w:color w:val="168CB8"/>
          <w:u w:val="single"/>
        </w:rPr>
        <w:t>https://www.sciencedirect.com/science/article/pii/S0957178722001291</w:t>
      </w:r>
    </w:p>
    <w:p>
      <w:pPr>
        <w:spacing w:after="80"/>
      </w:pPr>
      <w:r>
        <w:rPr>
          <w:b/>
        </w:rPr>
        <w:t xml:space="preserve">[16] HMWSSB Tanker Service. </w:t>
      </w:r>
      <w:r>
        <w:t xml:space="preserve">Google Play / HMWSSB, Current listing accessed September 2026. </w:t>
      </w:r>
      <w:r>
        <w:t xml:space="preserve">Operational tanker-service app context. </w:t>
      </w:r>
      <w:r>
        <w:rPr>
          <w:color w:val="168CB8"/>
          <w:u w:val="single"/>
        </w:rPr>
        <w:t>https://play.google.com/store/apps/details?id=com.hmwssb.tankerservice</w:t>
      </w:r>
    </w:p>
    <w:p>
      <w:pPr>
        <w:spacing w:after="80"/>
      </w:pPr>
      <w:r>
        <w:rPr>
          <w:b/>
        </w:rPr>
        <w:t xml:space="preserve">[17] Search Application for Online Water Tanker/Trolley Booking. </w:t>
      </w:r>
      <w:r>
        <w:t xml:space="preserve">NDMC, Current site accessed September 2026. </w:t>
      </w:r>
      <w:r>
        <w:t xml:space="preserve">Booking status workflow. </w:t>
      </w:r>
      <w:r>
        <w:rPr>
          <w:color w:val="168CB8"/>
          <w:u w:val="single"/>
        </w:rPr>
        <w:t>https://online.ndmc.gov.in/waterb/searchappl.aspx?post=Status</w:t>
      </w:r>
    </w:p>
    <w:p>
      <w:pPr>
        <w:spacing w:after="80"/>
      </w:pPr>
      <w:r>
        <w:rPr>
          <w:b/>
        </w:rPr>
        <w:t xml:space="preserve">[18] City's Water and Sanitation Directorate recognised ...; response to drought. </w:t>
      </w:r>
      <w:r>
        <w:t xml:space="preserve">City of Cape Town, 2023. </w:t>
      </w:r>
      <w:r>
        <w:t xml:space="preserve">Reported 55% reduction in water demand during 2015–2018 drought and 70 Ml/day pressure-management savings at peak. </w:t>
      </w:r>
      <w:r>
        <w:rPr>
          <w:color w:val="168CB8"/>
          <w:u w:val="single"/>
        </w:rPr>
        <w:t>https://www.capetown.gov.za/Media-and-news/City%27s%20Water%20and%20Sanitation%20Directorate%20recognised%20as%20Africa%27s%20first%20Leading%20Utility%20of%20the%20World</w:t>
      </w:r>
    </w:p>
    <w:p>
      <w:pPr>
        <w:spacing w:after="80"/>
      </w:pPr>
      <w:r>
        <w:rPr>
          <w:b/>
        </w:rPr>
        <w:t xml:space="preserve">[19] Smart Water Meter. </w:t>
      </w:r>
      <w:r>
        <w:t xml:space="preserve">PUB Singapore, Current page accessed September 2026. </w:t>
      </w:r>
      <w:r>
        <w:t xml:space="preserve">Around 300,000 smart meters in first phase; automated data for demand management. </w:t>
      </w:r>
      <w:r>
        <w:rPr>
          <w:color w:val="168CB8"/>
          <w:u w:val="single"/>
        </w:rPr>
        <w:t>https://www.pub.gov.sg/Public/KeyInitiatives/Smart-Water-Meter</w:t>
      </w:r>
    </w:p>
    <w:p>
      <w:pPr>
        <w:spacing w:after="80"/>
      </w:pPr>
      <w:r>
        <w:rPr>
          <w:b/>
        </w:rPr>
        <w:t xml:space="preserve">[20] Appraising spatial inequalities in urban water access in African cities by means of GIS clustering: insights from Malabo, Equatorial Guinea. </w:t>
      </w:r>
      <w:r>
        <w:t xml:space="preserve">Elsevier, June 2026. </w:t>
      </w:r>
      <w:r>
        <w:t xml:space="preserve">500 household surveys, 230 water samples and k-means clustering to map water-access inequality. </w:t>
      </w:r>
      <w:r>
        <w:rPr>
          <w:color w:val="168CB8"/>
          <w:u w:val="single"/>
        </w:rPr>
        <w:t>https://www.sciencedirect.com/science/article/pii/S0957178726000287</w:t>
      </w:r>
    </w:p>
    <w:p>
      <w:pPr>
        <w:spacing w:after="80"/>
      </w:pPr>
      <w:r>
        <w:rPr>
          <w:b/>
        </w:rPr>
        <w:t xml:space="preserve">[21] Stochastic Optimization Model for Short-term Planning of Tanker Water Supply Systems in Urban Areas. </w:t>
      </w:r>
      <w:r>
        <w:t xml:space="preserve">IFAC-PapersOnLine / Elsevier, 2022. </w:t>
      </w:r>
      <w:r>
        <w:t xml:space="preserve">Two-stage stochastic optimization for uncertain tanker demand. </w:t>
      </w:r>
      <w:r>
        <w:rPr>
          <w:color w:val="168CB8"/>
          <w:u w:val="single"/>
        </w:rPr>
        <w:t>https://www.sciencedirect.com/science/article/pii/S240589632200893X</w:t>
      </w:r>
    </w:p>
    <w:p>
      <w:pPr>
        <w:spacing w:after="80"/>
      </w:pPr>
      <w:r>
        <w:rPr>
          <w:b/>
        </w:rPr>
        <w:t xml:space="preserve">[22] Service Level Benchmarking / Urban Water Supply Data Book. </w:t>
      </w:r>
      <w:r>
        <w:t xml:space="preserve">Ministry of Housing &amp; Urban Affairs, Government of India, Benchmark reference. </w:t>
      </w:r>
      <w:r>
        <w:t xml:space="preserve">Secondary pointer for service-level benchmark table; same source family as [2]. </w:t>
      </w:r>
      <w:r>
        <w:rPr>
          <w:color w:val="168CB8"/>
          <w:u w:val="single"/>
        </w:rPr>
        <w:t>https://www.mohua.gov.in/upload/uploadfiles/files/databook.pdf</w:t>
      </w:r>
    </w:p>
    <w:p>
      <w:pPr>
        <w:pStyle w:val="Heading1"/>
      </w:pPr>
      <w:r>
        <w:t>16. Evidence &amp; Interpretation Notes</w:t>
      </w:r>
    </w:p>
    <w:p>
      <w:pPr>
        <w:pStyle w:val="ListBullet"/>
        <w:spacing w:after="40"/>
        <w:ind w:left="317"/>
      </w:pPr>
      <w:r>
        <w:t>Observed / reported facts are cited to their source. Claims from government agencies and peer-reviewed literature are preferred for material assertions.</w:t>
      </w:r>
    </w:p>
    <w:p>
      <w:pPr>
        <w:pStyle w:val="ListBullet"/>
        <w:spacing w:after="40"/>
        <w:ind w:left="317"/>
      </w:pPr>
      <w:r>
        <w:t>Historical figures such as the NITI Aayog-era 600-million water-stress estimate should not be presented as a fresh 2026 measurement; the current World Bank 2026 brief independently reports the same scale of water stress. [1]</w:t>
      </w:r>
    </w:p>
    <w:p>
      <w:pPr>
        <w:pStyle w:val="ListBullet"/>
        <w:spacing w:after="40"/>
        <w:ind w:left="317"/>
      </w:pPr>
      <w:r>
        <w:t>Prototype improvement percentages must be generated from the team's own controlled simulation. They are not currently claimed in this report.</w:t>
      </w:r>
    </w:p>
    <w:p>
      <w:pPr>
        <w:pStyle w:val="ListBullet"/>
        <w:spacing w:after="40"/>
        <w:ind w:left="317"/>
      </w:pPr>
      <w:r>
        <w:t>Weights in the proposed priority formula are design assumptions for the prototype, not established universal policy weights.</w:t>
      </w:r>
    </w:p>
    <w:p>
      <w:pPr>
        <w:pStyle w:val="ListBullet"/>
        <w:spacing w:after="40"/>
        <w:ind w:left="317"/>
      </w:pPr>
      <w:r>
        <w:t>The proposed service-equity index is a project operational metric. Where the report references Gini-based fairness, that metric is grounded in published water-allocation research. [6]</w:t>
      </w:r>
    </w:p>
    <w:p>
      <w:pPr>
        <w:pStyle w:val="ListBullet"/>
        <w:spacing w:after="40"/>
        <w:ind w:left="317"/>
      </w:pPr>
      <w:r>
        <w:t>Existing system comparisons reflect capabilities publicly documented on the cited pages at the time of research. They should be rechecked before the competition submission if a system changes.</w:t>
      </w:r>
    </w:p>
    <w:p>
      <w:pPr>
        <w:pStyle w:val="ListBullet"/>
        <w:spacing w:after="40"/>
        <w:ind w:left="317"/>
      </w:pPr>
      <w:r>
        <w:t>The platform should be presented as decision support. Authorized municipal personnel remain responsible for final operational decisions.</w:t>
      </w:r>
    </w:p>
    <w:p>
      <w:pPr>
        <w:pStyle w:val="Heading1"/>
      </w:pPr>
      <w:r>
        <w:t>17. Recommended Next Steps for the Team</w:t>
      </w:r>
    </w:p>
    <w:p>
      <w:pPr>
        <w:pStyle w:val="ListNumber"/>
        <w:spacing w:after="40"/>
      </w:pPr>
      <w:r>
        <w:t>Lock the five-factor priority model and decide whether the hackathon version should use fixed weights or configurable weights.</w:t>
      </w:r>
    </w:p>
    <w:p>
      <w:pPr>
        <w:pStyle w:val="ListNumber"/>
        <w:spacing w:after="40"/>
      </w:pPr>
      <w:r>
        <w:t>Create a synthetic dataset representing 15–30 wards, population, vulnerability, complaints, historical delivery and tanker availability.</w:t>
      </w:r>
    </w:p>
    <w:p>
      <w:pPr>
        <w:pStyle w:val="ListNumber"/>
        <w:spacing w:after="40"/>
      </w:pPr>
      <w:r>
        <w:t>Implement two allocation policies: first-come-first-served baseline and the proposed need-aware policy.</w:t>
      </w:r>
    </w:p>
    <w:p>
      <w:pPr>
        <w:pStyle w:val="ListNumber"/>
        <w:spacing w:after="40"/>
      </w:pPr>
      <w:r>
        <w:t>Measure unmet demand, average distance, vulnerable-area coverage and an equity statistic under both policies.</w:t>
      </w:r>
    </w:p>
    <w:p>
      <w:pPr>
        <w:pStyle w:val="ListNumber"/>
        <w:spacing w:after="40"/>
      </w:pPr>
      <w:r>
        <w:t>Build the single-screen dashboard around the six questions: where, who, why, what next, what changed, and was it fairer?</w:t>
      </w:r>
    </w:p>
    <w:p>
      <w:pPr>
        <w:pStyle w:val="ListNumber"/>
        <w:spacing w:after="40"/>
      </w:pPr>
      <w:r>
        <w:t>Keep every prototype result traceable to a dataset row or algorithmic rule so the judges can reproduce the reasoning.</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F8296"/>
        <w:sz w:val="16"/>
      </w:rPr>
      <w:t>PS 11 | Community Water-Supply Allocation &amp; Complaint Intelligence | Research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54F"/>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68CB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EAE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5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 11 - Community Water-Supply Allocation &amp; Complaint Intelligence: Deep Research Report</dc:title>
  <dc:subject>Research, feasibility, technical approach, impact, existing systems, novelty and five-slide PPT content</dc:subject>
  <dc:creator>OpenAI</dc:creator>
  <cp:keywords>PS 11, water allocation, tanker, GIS, fairness, complaint intelligence, hackathon</cp:keywords>
  <dc:description>generated by python-docx</dc:description>
  <cp:lastModifiedBy/>
  <cp:revision>1</cp:revision>
  <dcterms:created xsi:type="dcterms:W3CDTF">2013-12-23T23:15:00Z</dcterms:created>
  <dcterms:modified xsi:type="dcterms:W3CDTF">2013-12-23T23:15:00Z</dcterms:modified>
  <cp:category/>
</cp:coreProperties>
</file>