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22FBF" w14:textId="3817AF09" w:rsidR="00AC4361" w:rsidRDefault="004B72EA">
      <w:pPr>
        <w:rPr>
          <w:sz w:val="36"/>
          <w:szCs w:val="36"/>
          <w:lang w:val="en-US"/>
        </w:rPr>
      </w:pPr>
      <w:r>
        <w:rPr>
          <w:sz w:val="36"/>
          <w:szCs w:val="36"/>
          <w:lang w:val="en-US"/>
        </w:rPr>
        <w:t xml:space="preserve">                                         ChatGPT LLM answers</w:t>
      </w:r>
    </w:p>
    <w:p w14:paraId="64A113FE" w14:textId="1733C5F1" w:rsidR="004B72EA" w:rsidRDefault="004B72EA" w:rsidP="004B72EA">
      <w:pPr>
        <w:pStyle w:val="ListParagraph"/>
        <w:numPr>
          <w:ilvl w:val="0"/>
          <w:numId w:val="1"/>
        </w:numPr>
        <w:rPr>
          <w:sz w:val="36"/>
          <w:szCs w:val="36"/>
          <w:lang w:val="en-US"/>
        </w:rPr>
      </w:pPr>
      <w:r w:rsidRPr="004B72EA">
        <w:rPr>
          <w:sz w:val="36"/>
          <w:szCs w:val="36"/>
          <w:lang w:val="en-US"/>
        </w:rPr>
        <w:t>Current diagnosis: no confirmed diabetes mellitus. FPG (109 mg/dL) and 2-hour OGTT (116 mg/dL) are below diabetic thresholds. Although HbA1c is 7.5%, HbA1c is unreliable for diagnosing diabetes in hemodialysis because altered red-cell turnover can distort it. Random glucose ≥200 mg/dL is diagnostic only with classic hyperglycemic symptoms/crisis. Thus, the discordant results require confirmation using plasma-glucose criteria.</w:t>
      </w:r>
    </w:p>
    <w:p w14:paraId="2698B033" w14:textId="019F50DC" w:rsidR="004B72EA" w:rsidRDefault="004B72EA" w:rsidP="004B72EA">
      <w:pPr>
        <w:pStyle w:val="ListParagraph"/>
        <w:numPr>
          <w:ilvl w:val="0"/>
          <w:numId w:val="1"/>
        </w:numPr>
        <w:rPr>
          <w:sz w:val="36"/>
          <w:szCs w:val="36"/>
          <w:lang w:val="en-US"/>
        </w:rPr>
      </w:pPr>
      <w:r w:rsidRPr="004B72EA">
        <w:rPr>
          <w:sz w:val="36"/>
          <w:szCs w:val="36"/>
          <w:lang w:val="en-US"/>
        </w:rPr>
        <w:t>Most unlikely: B) FPG = 99 mg/dL.</w:t>
      </w:r>
      <w:r>
        <w:rPr>
          <w:sz w:val="36"/>
          <w:szCs w:val="36"/>
          <w:lang w:val="en-US"/>
        </w:rPr>
        <w:t xml:space="preserve"> </w:t>
      </w:r>
      <w:r w:rsidRPr="004B72EA">
        <w:rPr>
          <w:sz w:val="36"/>
          <w:szCs w:val="36"/>
          <w:lang w:val="en-US"/>
        </w:rPr>
        <w:t>HbA1c ≥6.5% is diagnostic of diabetes, while a fasting glucose of 99 mg/dL is normal. Although discordant results can occur, a patient with HbA1c 6.5% and 2-hour OGTT 199 mg/dL would more typically have an elevated fasting glucose. Insulin 25.5 µIU/mL is compatible with significant insulin resistance in type 2 diabetes.</w:t>
      </w:r>
    </w:p>
    <w:p w14:paraId="5834F2F7" w14:textId="0DB14E5A" w:rsidR="004B72EA" w:rsidRDefault="004B72EA" w:rsidP="004B72EA">
      <w:pPr>
        <w:pStyle w:val="ListParagraph"/>
        <w:numPr>
          <w:ilvl w:val="0"/>
          <w:numId w:val="1"/>
        </w:numPr>
        <w:rPr>
          <w:sz w:val="36"/>
          <w:szCs w:val="36"/>
          <w:lang w:val="en-US"/>
        </w:rPr>
      </w:pPr>
      <w:r w:rsidRPr="004B72EA">
        <w:rPr>
          <w:sz w:val="36"/>
          <w:szCs w:val="36"/>
          <w:lang w:val="en-US"/>
        </w:rPr>
        <w:t>True.</w:t>
      </w:r>
      <w:r>
        <w:rPr>
          <w:sz w:val="36"/>
          <w:szCs w:val="36"/>
          <w:lang w:val="en-US"/>
        </w:rPr>
        <w:t xml:space="preserve"> </w:t>
      </w:r>
      <w:r w:rsidRPr="004B72EA">
        <w:rPr>
          <w:sz w:val="36"/>
          <w:szCs w:val="36"/>
          <w:lang w:val="en-US"/>
        </w:rPr>
        <w:t>A 2-year interval is considered reasonable for diabetes screening when the optimal screening interval is uncertain. The interval balances early detection with practicality and avoids unnecessary repeated testing in individuals who previously had normal results.</w:t>
      </w:r>
    </w:p>
    <w:p w14:paraId="0C9DC327" w14:textId="6DB23A12" w:rsidR="004B72EA" w:rsidRDefault="004B72EA" w:rsidP="004B72EA">
      <w:pPr>
        <w:pStyle w:val="ListParagraph"/>
        <w:numPr>
          <w:ilvl w:val="0"/>
          <w:numId w:val="1"/>
        </w:numPr>
        <w:rPr>
          <w:sz w:val="36"/>
          <w:szCs w:val="36"/>
          <w:lang w:val="en-US"/>
        </w:rPr>
      </w:pPr>
      <w:r w:rsidRPr="004B72EA">
        <w:rPr>
          <w:sz w:val="36"/>
          <w:szCs w:val="36"/>
          <w:lang w:val="en-US"/>
        </w:rPr>
        <w:t>True.</w:t>
      </w:r>
      <w:r>
        <w:rPr>
          <w:sz w:val="36"/>
          <w:szCs w:val="36"/>
          <w:lang w:val="en-US"/>
        </w:rPr>
        <w:t xml:space="preserve"> </w:t>
      </w:r>
      <w:r w:rsidRPr="004B72EA">
        <w:rPr>
          <w:sz w:val="36"/>
          <w:szCs w:val="36"/>
          <w:lang w:val="en-US"/>
        </w:rPr>
        <w:t xml:space="preserve">Annual monitoring for diabetes-related complications should begin after a diagnosis of cystic fibrosis–related diabetes (CFRD). Although complications may develop less frequently than in other forms of diabetes, patients remain at risk of retinopathy, nephropathy, neuropathy, and cardiovascular complications. Therefore, regular screening and </w:t>
      </w:r>
      <w:r w:rsidRPr="004B72EA">
        <w:rPr>
          <w:sz w:val="36"/>
          <w:szCs w:val="36"/>
          <w:lang w:val="en-US"/>
        </w:rPr>
        <w:lastRenderedPageBreak/>
        <w:t>monitoring are recommended from the time CFRD is diagnosed to detect and manage complications early.</w:t>
      </w:r>
    </w:p>
    <w:p w14:paraId="1B0D6505" w14:textId="50D10221" w:rsidR="004B72EA" w:rsidRDefault="004B72EA" w:rsidP="004B72EA">
      <w:pPr>
        <w:pStyle w:val="ListParagraph"/>
        <w:numPr>
          <w:ilvl w:val="0"/>
          <w:numId w:val="1"/>
        </w:numPr>
        <w:rPr>
          <w:sz w:val="36"/>
          <w:szCs w:val="36"/>
          <w:lang w:val="en-US"/>
        </w:rPr>
      </w:pPr>
      <w:r w:rsidRPr="004B72EA">
        <w:rPr>
          <w:sz w:val="36"/>
          <w:szCs w:val="36"/>
          <w:lang w:val="en-US"/>
        </w:rPr>
        <w:t>Yes. Metformin should be considered because he is 25, an age group in which metformin has demonstrated benefit for diabetes prevention. However, it is particularly recommended for those at high risk—e.g., BMI ≥35 kg/m², A1C ≥6.0%, fasting glucose ≥110 mg/dL, or other major risk factors. Lifestyle modification remains the foundation of prevention.</w:t>
      </w:r>
    </w:p>
    <w:p w14:paraId="565F7BEB" w14:textId="1269FB0C" w:rsidR="004B72EA" w:rsidRDefault="004B72EA" w:rsidP="004B72EA">
      <w:pPr>
        <w:pStyle w:val="ListParagraph"/>
        <w:numPr>
          <w:ilvl w:val="0"/>
          <w:numId w:val="1"/>
        </w:numPr>
        <w:rPr>
          <w:sz w:val="36"/>
          <w:szCs w:val="36"/>
          <w:lang w:val="en-US"/>
        </w:rPr>
      </w:pPr>
      <w:r w:rsidRPr="004B72EA">
        <w:rPr>
          <w:sz w:val="36"/>
          <w:szCs w:val="36"/>
          <w:lang w:val="en-US"/>
        </w:rPr>
        <w:t>Statin therapy should be routinely started. In a 55-year-old with type 2 diabetes, guidelines recommend at least moderate-intensity statin therapy for primary prevention, even without established ASCVD. If additional cardiovascular risk factors are present, high-intensity statin therapy is recommended.</w:t>
      </w:r>
    </w:p>
    <w:p w14:paraId="12D52B1E" w14:textId="6CC7EE5C" w:rsidR="004B72EA" w:rsidRDefault="004B72EA" w:rsidP="004B72EA">
      <w:pPr>
        <w:pStyle w:val="ListParagraph"/>
        <w:numPr>
          <w:ilvl w:val="0"/>
          <w:numId w:val="1"/>
        </w:numPr>
        <w:rPr>
          <w:sz w:val="36"/>
          <w:szCs w:val="36"/>
          <w:lang w:val="en-US"/>
        </w:rPr>
      </w:pPr>
      <w:r w:rsidRPr="004B72EA">
        <w:rPr>
          <w:sz w:val="36"/>
          <w:szCs w:val="36"/>
          <w:lang w:val="en-US"/>
        </w:rPr>
        <w:t>True. Good glycemic management in type 2 diabetes can reduce fracture risk by limiting diabetes-related complications that impair bone quality and increase falls. Although diabetes is associated with increased fracture risk, especially with poor glycemic control, the relationship is multifactorial. Effective management of blood glucose, along with attention to bone health, fall prevention, and appropriate diabetes medications, can help reduce overall fracture risk.</w:t>
      </w:r>
    </w:p>
    <w:p w14:paraId="03518FB5" w14:textId="081A6171" w:rsidR="004B72EA" w:rsidRDefault="004B72EA" w:rsidP="004B72EA">
      <w:pPr>
        <w:pStyle w:val="ListParagraph"/>
        <w:numPr>
          <w:ilvl w:val="0"/>
          <w:numId w:val="1"/>
        </w:numPr>
        <w:rPr>
          <w:sz w:val="36"/>
          <w:szCs w:val="36"/>
          <w:lang w:val="en-US"/>
        </w:rPr>
      </w:pPr>
      <w:r w:rsidRPr="004B72EA">
        <w:rPr>
          <w:sz w:val="36"/>
          <w:szCs w:val="36"/>
          <w:lang w:val="en-US"/>
        </w:rPr>
        <w:t>True</w:t>
      </w:r>
      <w:r>
        <w:rPr>
          <w:sz w:val="36"/>
          <w:szCs w:val="36"/>
          <w:lang w:val="en-US"/>
        </w:rPr>
        <w:t xml:space="preserve">. </w:t>
      </w:r>
      <w:r w:rsidRPr="004B72EA">
        <w:rPr>
          <w:sz w:val="36"/>
          <w:szCs w:val="36"/>
          <w:lang w:val="en-US"/>
        </w:rPr>
        <w:t xml:space="preserve">Poor glycemic control, particularly in diabetes, can damage small blood vessels and nerves supplying the inner ear. Chronic hyperglycemia may therefore contribute to cochlear and auditory nerve dysfunction, increasing the severity of hearing impairment. Studies </w:t>
      </w:r>
      <w:r w:rsidRPr="004B72EA">
        <w:rPr>
          <w:sz w:val="36"/>
          <w:szCs w:val="36"/>
          <w:lang w:val="en-US"/>
        </w:rPr>
        <w:lastRenderedPageBreak/>
        <w:t>have found an association between elevated blood glucose/HbA1c levels and worse hearing outcomes, although the relationship is influenced by other factors such as age, duration of diabetes, and vascular complications.</w:t>
      </w:r>
    </w:p>
    <w:p w14:paraId="0DF10A7D" w14:textId="4528E631" w:rsidR="004B72EA" w:rsidRDefault="004B72EA" w:rsidP="004B72EA">
      <w:pPr>
        <w:pStyle w:val="ListParagraph"/>
        <w:numPr>
          <w:ilvl w:val="0"/>
          <w:numId w:val="1"/>
        </w:numPr>
        <w:rPr>
          <w:sz w:val="36"/>
          <w:szCs w:val="36"/>
          <w:lang w:val="en-US"/>
        </w:rPr>
      </w:pPr>
      <w:r w:rsidRPr="004B72EA">
        <w:rPr>
          <w:sz w:val="36"/>
          <w:szCs w:val="36"/>
          <w:lang w:val="en-US"/>
        </w:rPr>
        <w:t>False.</w:t>
      </w:r>
      <w:r>
        <w:rPr>
          <w:sz w:val="36"/>
          <w:szCs w:val="36"/>
          <w:lang w:val="en-US"/>
        </w:rPr>
        <w:t xml:space="preserve"> </w:t>
      </w:r>
      <w:r w:rsidRPr="004B72EA">
        <w:rPr>
          <w:sz w:val="36"/>
          <w:szCs w:val="36"/>
          <w:lang w:val="en-US"/>
        </w:rPr>
        <w:t>People with diabetes do not necessarily need to reduce the total amount of fat in their diet. Instead, they should focus on the type of fat consumed. Unsaturated fats, found in foods such as nuts, seeds, fish, and vegetable oils, are healthier choices. Saturated and trans fats should be limited because they can increase the risk of heart disease, which is already higher in people with diabetes.</w:t>
      </w:r>
    </w:p>
    <w:p w14:paraId="0897D4AB" w14:textId="699E5D6A" w:rsidR="004B72EA" w:rsidRDefault="004456A5" w:rsidP="004456A5">
      <w:pPr>
        <w:pStyle w:val="ListParagraph"/>
        <w:numPr>
          <w:ilvl w:val="0"/>
          <w:numId w:val="1"/>
        </w:numPr>
        <w:rPr>
          <w:sz w:val="36"/>
          <w:szCs w:val="36"/>
          <w:lang w:val="en-US"/>
        </w:rPr>
      </w:pPr>
      <w:r w:rsidRPr="004456A5">
        <w:rPr>
          <w:sz w:val="36"/>
          <w:szCs w:val="36"/>
          <w:lang w:val="en-US"/>
        </w:rPr>
        <w:t>A. HbA1c</w:t>
      </w:r>
      <w:r>
        <w:rPr>
          <w:sz w:val="36"/>
          <w:szCs w:val="36"/>
          <w:lang w:val="en-US"/>
        </w:rPr>
        <w:t xml:space="preserve">. </w:t>
      </w:r>
      <w:r w:rsidRPr="004456A5">
        <w:rPr>
          <w:sz w:val="36"/>
          <w:szCs w:val="36"/>
          <w:lang w:val="en-US"/>
        </w:rPr>
        <w:t>HbA1c is the most appropriate test for assessing glycemic status in a patient with established diabetes because it reflects average blood glucose over the preceding 2–3 months and is the primary test recommended for routine glycemic assessment. FPG and 2-hour OGTT are primarily used for diagnosis or specific evaluation of glucose tolerance. Her coronary artery disease and aspirin (</w:t>
      </w:r>
      <w:proofErr w:type="spellStart"/>
      <w:r w:rsidRPr="004456A5">
        <w:rPr>
          <w:sz w:val="36"/>
          <w:szCs w:val="36"/>
          <w:lang w:val="en-US"/>
        </w:rPr>
        <w:t>Ecosprin</w:t>
      </w:r>
      <w:proofErr w:type="spellEnd"/>
      <w:r w:rsidRPr="004456A5">
        <w:rPr>
          <w:sz w:val="36"/>
          <w:szCs w:val="36"/>
          <w:lang w:val="en-US"/>
        </w:rPr>
        <w:t>) use do not alter this choice</w:t>
      </w:r>
      <w:r>
        <w:rPr>
          <w:sz w:val="36"/>
          <w:szCs w:val="36"/>
          <w:lang w:val="en-US"/>
        </w:rPr>
        <w:t>.</w:t>
      </w:r>
    </w:p>
    <w:p w14:paraId="76131ABD" w14:textId="36DE3F32" w:rsidR="004456A5" w:rsidRDefault="004456A5" w:rsidP="004456A5">
      <w:pPr>
        <w:pStyle w:val="ListParagraph"/>
        <w:numPr>
          <w:ilvl w:val="0"/>
          <w:numId w:val="1"/>
        </w:numPr>
        <w:rPr>
          <w:sz w:val="36"/>
          <w:szCs w:val="36"/>
          <w:lang w:val="en-US"/>
        </w:rPr>
      </w:pPr>
      <w:r w:rsidRPr="004456A5">
        <w:rPr>
          <w:sz w:val="36"/>
          <w:szCs w:val="36"/>
          <w:lang w:val="en-US"/>
        </w:rPr>
        <w:t xml:space="preserve">True. HbA1c testing is recommended for all people with diabetes at the initial assessment and routinely during continuing care. It reflects average blood glucose over approximately 2–3 months and helps assess whether glycemic targets are being achieved. Testing is generally done every 3 months when therapy is </w:t>
      </w:r>
      <w:r w:rsidRPr="004456A5">
        <w:rPr>
          <w:sz w:val="36"/>
          <w:szCs w:val="36"/>
          <w:lang w:val="en-US"/>
        </w:rPr>
        <w:lastRenderedPageBreak/>
        <w:t>changing or goals are unmet, and about twice yearly when glycemia is stable and at target</w:t>
      </w:r>
      <w:r>
        <w:rPr>
          <w:sz w:val="36"/>
          <w:szCs w:val="36"/>
          <w:lang w:val="en-US"/>
        </w:rPr>
        <w:t>.</w:t>
      </w:r>
    </w:p>
    <w:p w14:paraId="1CE5D0AE" w14:textId="3B1649A3" w:rsidR="004456A5" w:rsidRDefault="004456A5" w:rsidP="004456A5">
      <w:pPr>
        <w:pStyle w:val="ListParagraph"/>
        <w:numPr>
          <w:ilvl w:val="0"/>
          <w:numId w:val="1"/>
        </w:numPr>
        <w:rPr>
          <w:sz w:val="36"/>
          <w:szCs w:val="36"/>
          <w:lang w:val="en-US"/>
        </w:rPr>
      </w:pPr>
      <w:r w:rsidRPr="004456A5">
        <w:rPr>
          <w:sz w:val="36"/>
          <w:szCs w:val="36"/>
          <w:lang w:val="en-US"/>
        </w:rPr>
        <w:t>False. Adults with diabetes who have achieved and are maintaining their glycemic goal generally need HbA1c testing at least twice a year, not just once yearly. More frequent testing (typically every 3 months) is recommended when glycemic control is unstable, treatment has changed, or goals are not being met.</w:t>
      </w:r>
    </w:p>
    <w:p w14:paraId="5084FB60" w14:textId="18CEE832" w:rsidR="004456A5" w:rsidRDefault="004456A5" w:rsidP="004456A5">
      <w:pPr>
        <w:pStyle w:val="ListParagraph"/>
        <w:numPr>
          <w:ilvl w:val="0"/>
          <w:numId w:val="1"/>
        </w:numPr>
        <w:rPr>
          <w:sz w:val="36"/>
          <w:szCs w:val="36"/>
          <w:lang w:val="en-US"/>
        </w:rPr>
      </w:pPr>
      <w:r w:rsidRPr="004456A5">
        <w:rPr>
          <w:sz w:val="36"/>
          <w:szCs w:val="36"/>
          <w:lang w:val="en-US"/>
        </w:rPr>
        <w:t>A. &lt;6.5%</w:t>
      </w:r>
      <w:r>
        <w:rPr>
          <w:sz w:val="36"/>
          <w:szCs w:val="36"/>
          <w:lang w:val="en-US"/>
        </w:rPr>
        <w:t xml:space="preserve">. </w:t>
      </w:r>
      <w:r w:rsidRPr="004456A5">
        <w:rPr>
          <w:sz w:val="36"/>
          <w:szCs w:val="36"/>
          <w:lang w:val="en-US"/>
        </w:rPr>
        <w:t xml:space="preserve">This 30-year-old has a relatively short diabetes duration, is physically active, and has no stated complications or significant comorbidities. In younger, otherwise healthy patients with a </w:t>
      </w:r>
      <w:proofErr w:type="gramStart"/>
      <w:r w:rsidRPr="004456A5">
        <w:rPr>
          <w:sz w:val="36"/>
          <w:szCs w:val="36"/>
          <w:lang w:val="en-US"/>
        </w:rPr>
        <w:t>long life</w:t>
      </w:r>
      <w:proofErr w:type="gramEnd"/>
      <w:r w:rsidRPr="004456A5">
        <w:rPr>
          <w:sz w:val="36"/>
          <w:szCs w:val="36"/>
          <w:lang w:val="en-US"/>
        </w:rPr>
        <w:t xml:space="preserve"> expectancy and low risk of hypoglycemia, a more stringent HbA1c target such as &lt;6.5% is appropriate. Glycemic goals should still be individualized, but simply allowing the patient to choose or considering HbA1c unimportant is inappropriate.</w:t>
      </w:r>
    </w:p>
    <w:p w14:paraId="4779F7D9" w14:textId="7749BA54" w:rsidR="004456A5" w:rsidRDefault="004456A5" w:rsidP="004456A5">
      <w:pPr>
        <w:pStyle w:val="ListParagraph"/>
        <w:numPr>
          <w:ilvl w:val="0"/>
          <w:numId w:val="1"/>
        </w:numPr>
        <w:rPr>
          <w:sz w:val="36"/>
          <w:szCs w:val="36"/>
          <w:lang w:val="en-US"/>
        </w:rPr>
      </w:pPr>
      <w:r w:rsidRPr="004456A5">
        <w:rPr>
          <w:sz w:val="36"/>
          <w:szCs w:val="36"/>
          <w:lang w:val="en-US"/>
        </w:rPr>
        <w:t>C. Ask the patient to intensify lifestyle management.</w:t>
      </w:r>
      <w:r>
        <w:rPr>
          <w:sz w:val="36"/>
          <w:szCs w:val="36"/>
          <w:lang w:val="en-US"/>
        </w:rPr>
        <w:t xml:space="preserve"> </w:t>
      </w:r>
      <w:r w:rsidRPr="004456A5">
        <w:rPr>
          <w:sz w:val="36"/>
          <w:szCs w:val="36"/>
          <w:lang w:val="en-US"/>
        </w:rPr>
        <w:t xml:space="preserve">HbA1c is essentially at target (7.0%), so increasing insulin or adding semaglutide is unnecessary. Although persistent albuminuria despite ACE inhibitor and SGLT2 inhibitor would otherwise favor </w:t>
      </w:r>
      <w:proofErr w:type="spellStart"/>
      <w:r w:rsidRPr="004456A5">
        <w:rPr>
          <w:sz w:val="36"/>
          <w:szCs w:val="36"/>
          <w:lang w:val="en-US"/>
        </w:rPr>
        <w:t>finerenone</w:t>
      </w:r>
      <w:proofErr w:type="spellEnd"/>
      <w:r w:rsidRPr="004456A5">
        <w:rPr>
          <w:sz w:val="36"/>
          <w:szCs w:val="36"/>
          <w:lang w:val="en-US"/>
        </w:rPr>
        <w:t xml:space="preserve">, serum K⁺ 5.3 </w:t>
      </w:r>
      <w:proofErr w:type="spellStart"/>
      <w:r w:rsidRPr="004456A5">
        <w:rPr>
          <w:sz w:val="36"/>
          <w:szCs w:val="36"/>
          <w:lang w:val="en-US"/>
        </w:rPr>
        <w:t>mEq</w:t>
      </w:r>
      <w:proofErr w:type="spellEnd"/>
      <w:r w:rsidRPr="004456A5">
        <w:rPr>
          <w:sz w:val="36"/>
          <w:szCs w:val="36"/>
          <w:lang w:val="en-US"/>
        </w:rPr>
        <w:t xml:space="preserve">/L precludes initiating </w:t>
      </w:r>
      <w:proofErr w:type="spellStart"/>
      <w:r w:rsidRPr="004456A5">
        <w:rPr>
          <w:sz w:val="36"/>
          <w:szCs w:val="36"/>
          <w:lang w:val="en-US"/>
        </w:rPr>
        <w:t>finerenone</w:t>
      </w:r>
      <w:proofErr w:type="spellEnd"/>
      <w:r w:rsidRPr="004456A5">
        <w:rPr>
          <w:sz w:val="36"/>
          <w:szCs w:val="36"/>
          <w:lang w:val="en-US"/>
        </w:rPr>
        <w:t xml:space="preserve"> (initiation requires K⁺ ≤5.0 </w:t>
      </w:r>
      <w:proofErr w:type="spellStart"/>
      <w:r w:rsidRPr="004456A5">
        <w:rPr>
          <w:sz w:val="36"/>
          <w:szCs w:val="36"/>
          <w:lang w:val="en-US"/>
        </w:rPr>
        <w:t>mEq</w:t>
      </w:r>
      <w:proofErr w:type="spellEnd"/>
      <w:r w:rsidRPr="004456A5">
        <w:rPr>
          <w:sz w:val="36"/>
          <w:szCs w:val="36"/>
          <w:lang w:val="en-US"/>
        </w:rPr>
        <w:t>/L)</w:t>
      </w:r>
      <w:r>
        <w:rPr>
          <w:sz w:val="36"/>
          <w:szCs w:val="36"/>
          <w:lang w:val="en-US"/>
        </w:rPr>
        <w:t>.</w:t>
      </w:r>
    </w:p>
    <w:p w14:paraId="19AE320B" w14:textId="07B47A91" w:rsidR="004456A5" w:rsidRDefault="000715CD" w:rsidP="004456A5">
      <w:pPr>
        <w:pStyle w:val="ListParagraph"/>
        <w:numPr>
          <w:ilvl w:val="0"/>
          <w:numId w:val="1"/>
        </w:numPr>
        <w:rPr>
          <w:sz w:val="36"/>
          <w:szCs w:val="36"/>
          <w:lang w:val="en-US"/>
        </w:rPr>
      </w:pPr>
      <w:r>
        <w:rPr>
          <w:sz w:val="36"/>
          <w:szCs w:val="36"/>
          <w:lang w:val="en-US"/>
        </w:rPr>
        <w:t xml:space="preserve">C. </w:t>
      </w:r>
      <w:r w:rsidRPr="000715CD">
        <w:rPr>
          <w:sz w:val="36"/>
          <w:szCs w:val="36"/>
          <w:lang w:val="en-US"/>
        </w:rPr>
        <w:t>Glargine plus metformin</w:t>
      </w:r>
      <w:r>
        <w:rPr>
          <w:sz w:val="36"/>
          <w:szCs w:val="36"/>
          <w:lang w:val="en-US"/>
        </w:rPr>
        <w:t xml:space="preserve">. </w:t>
      </w:r>
      <w:r w:rsidR="004456A5" w:rsidRPr="004456A5">
        <w:rPr>
          <w:sz w:val="36"/>
          <w:szCs w:val="36"/>
          <w:lang w:val="en-US"/>
        </w:rPr>
        <w:t xml:space="preserve">The weight loss indicates a catabolic state from significant hyperglycemia, suggesting relative insulin deficiency. Although HbA1c is 9% (not &gt;10%), the presence of catabolic features favors early insulin therapy. Basal </w:t>
      </w:r>
      <w:r w:rsidR="004456A5" w:rsidRPr="004456A5">
        <w:rPr>
          <w:sz w:val="36"/>
          <w:szCs w:val="36"/>
          <w:lang w:val="en-US"/>
        </w:rPr>
        <w:lastRenderedPageBreak/>
        <w:t>insulin (glargine) rapidly controls glucose, while metformin addresses insulin resistance and can be continued long term.</w:t>
      </w:r>
    </w:p>
    <w:p w14:paraId="7F2755B8" w14:textId="3180BBB5" w:rsidR="004456A5" w:rsidRDefault="004456A5" w:rsidP="004456A5">
      <w:pPr>
        <w:pStyle w:val="ListParagraph"/>
        <w:numPr>
          <w:ilvl w:val="0"/>
          <w:numId w:val="1"/>
        </w:numPr>
        <w:rPr>
          <w:sz w:val="36"/>
          <w:szCs w:val="36"/>
          <w:lang w:val="en-US"/>
        </w:rPr>
      </w:pPr>
      <w:r w:rsidRPr="004456A5">
        <w:rPr>
          <w:sz w:val="36"/>
          <w:szCs w:val="36"/>
          <w:lang w:val="en-US"/>
        </w:rPr>
        <w:t>False. Treating major cardiovascular risk factors to target substantially reduces excess mortality, but does not necessarily restore life expectancy to that of the general population. Diabetes itself is associated with residual risks, including microvascular complications and cardiovascular disease. Recent cohort evidence shows that achieving multiple risk-factor targets markedly improves survival, but people with type 2 diabetes may still have shorter life expectancy than people without diabetes</w:t>
      </w:r>
      <w:r>
        <w:rPr>
          <w:sz w:val="36"/>
          <w:szCs w:val="36"/>
          <w:lang w:val="en-US"/>
        </w:rPr>
        <w:t>.</w:t>
      </w:r>
    </w:p>
    <w:p w14:paraId="557E985B" w14:textId="3CF29D6E" w:rsidR="004456A5" w:rsidRDefault="000715CD" w:rsidP="004456A5">
      <w:pPr>
        <w:pStyle w:val="ListParagraph"/>
        <w:numPr>
          <w:ilvl w:val="0"/>
          <w:numId w:val="1"/>
        </w:numPr>
        <w:rPr>
          <w:sz w:val="36"/>
          <w:szCs w:val="36"/>
          <w:lang w:val="en-US"/>
        </w:rPr>
      </w:pPr>
      <w:r w:rsidRPr="000715CD">
        <w:rPr>
          <w:sz w:val="36"/>
          <w:szCs w:val="36"/>
          <w:lang w:val="en-US"/>
        </w:rPr>
        <w:t xml:space="preserve">A. Confirm the diagnosis of </w:t>
      </w:r>
      <w:proofErr w:type="gramStart"/>
      <w:r w:rsidRPr="000715CD">
        <w:rPr>
          <w:sz w:val="36"/>
          <w:szCs w:val="36"/>
          <w:lang w:val="en-US"/>
        </w:rPr>
        <w:t>hypertension</w:t>
      </w:r>
      <w:r w:rsidRPr="000715CD">
        <w:rPr>
          <w:sz w:val="36"/>
          <w:szCs w:val="36"/>
          <w:lang w:val="en-US"/>
        </w:rPr>
        <w:t xml:space="preserve"> </w:t>
      </w:r>
      <w:r>
        <w:rPr>
          <w:sz w:val="36"/>
          <w:szCs w:val="36"/>
          <w:lang w:val="en-US"/>
        </w:rPr>
        <w:t>.</w:t>
      </w:r>
      <w:proofErr w:type="gramEnd"/>
      <w:r>
        <w:rPr>
          <w:sz w:val="36"/>
          <w:szCs w:val="36"/>
          <w:lang w:val="en-US"/>
        </w:rPr>
        <w:t xml:space="preserve"> </w:t>
      </w:r>
      <w:r w:rsidR="004456A5" w:rsidRPr="004456A5">
        <w:rPr>
          <w:sz w:val="36"/>
          <w:szCs w:val="36"/>
          <w:lang w:val="en-US"/>
        </w:rPr>
        <w:t>A BP of 182/112 mmHg is markedly elevated. However, because the patient has diabetes and coronary artery disease, hypertension can be diagnosed from a single visit when BP is ≥180/110 mmHg. Therefore, waiting weeks for lifestyle modification is inappropriate; treatment and assessment for target-organ damage should follow promptly.</w:t>
      </w:r>
    </w:p>
    <w:p w14:paraId="4B6673E4" w14:textId="7ACA0997" w:rsidR="004456A5" w:rsidRDefault="004456A5" w:rsidP="004456A5">
      <w:pPr>
        <w:pStyle w:val="ListParagraph"/>
        <w:numPr>
          <w:ilvl w:val="0"/>
          <w:numId w:val="1"/>
        </w:numPr>
        <w:rPr>
          <w:sz w:val="36"/>
          <w:szCs w:val="36"/>
          <w:lang w:val="en-US"/>
        </w:rPr>
      </w:pPr>
      <w:r w:rsidRPr="004456A5">
        <w:rPr>
          <w:sz w:val="36"/>
          <w:szCs w:val="36"/>
          <w:lang w:val="en-US"/>
        </w:rPr>
        <w:t>C. Reduce amlodipine and add chlorthalidone.</w:t>
      </w:r>
      <w:r>
        <w:rPr>
          <w:sz w:val="36"/>
          <w:szCs w:val="36"/>
          <w:lang w:val="en-US"/>
        </w:rPr>
        <w:t xml:space="preserve"> </w:t>
      </w:r>
      <w:r w:rsidRPr="004456A5">
        <w:rPr>
          <w:sz w:val="36"/>
          <w:szCs w:val="36"/>
          <w:lang w:val="en-US"/>
        </w:rPr>
        <w:t>BP remains above the &lt;130/80 mmHg target. Amlodipine 10 mg commonly causes peripheral edema, explaining his swollen legs. Since UACR is elevated, enalapril should be continued for renal protection; reducing it would be inappropriate. Chlorthalidone provides additional BP control and may help reduce edema. Lifestyle measures should continue, but alone are insufficient.</w:t>
      </w:r>
    </w:p>
    <w:p w14:paraId="06A01C7B" w14:textId="1C5E84F6" w:rsidR="004456A5" w:rsidRDefault="00805830" w:rsidP="00805830">
      <w:pPr>
        <w:pStyle w:val="ListParagraph"/>
        <w:numPr>
          <w:ilvl w:val="0"/>
          <w:numId w:val="1"/>
        </w:numPr>
        <w:rPr>
          <w:sz w:val="36"/>
          <w:szCs w:val="36"/>
          <w:lang w:val="en-US"/>
        </w:rPr>
      </w:pPr>
      <w:r w:rsidRPr="00805830">
        <w:rPr>
          <w:sz w:val="36"/>
          <w:szCs w:val="36"/>
          <w:lang w:val="en-US"/>
        </w:rPr>
        <w:lastRenderedPageBreak/>
        <w:t>A. Monitor UACR.</w:t>
      </w:r>
      <w:r>
        <w:rPr>
          <w:sz w:val="36"/>
          <w:szCs w:val="36"/>
          <w:lang w:val="en-US"/>
        </w:rPr>
        <w:t xml:space="preserve"> </w:t>
      </w:r>
      <w:r w:rsidRPr="00805830">
        <w:rPr>
          <w:sz w:val="36"/>
          <w:szCs w:val="36"/>
          <w:lang w:val="en-US"/>
        </w:rPr>
        <w:t>Creatinine increased from 1.0 to 1.25 mg/dL (25% rise) after starting enalapril. A rise ≤30% is generally acceptable and is not an indication to reduce or stop an ACE inhibitor, provided there is no volume depletion or significant hyperkalemia. ACE inhibitors are particularly beneficial in diabetes with albuminuria, so UACR should be assessed and renal function/potassium monitored.</w:t>
      </w:r>
    </w:p>
    <w:p w14:paraId="63C1C6E9" w14:textId="2DEAB414" w:rsidR="00805830" w:rsidRDefault="00805830" w:rsidP="00805830">
      <w:pPr>
        <w:pStyle w:val="ListParagraph"/>
        <w:numPr>
          <w:ilvl w:val="0"/>
          <w:numId w:val="1"/>
        </w:numPr>
        <w:rPr>
          <w:sz w:val="36"/>
          <w:szCs w:val="36"/>
          <w:lang w:val="en-US"/>
        </w:rPr>
      </w:pPr>
      <w:r w:rsidRPr="00805830">
        <w:rPr>
          <w:sz w:val="36"/>
          <w:szCs w:val="36"/>
          <w:lang w:val="en-US"/>
        </w:rPr>
        <w:t>False. Resistant hypertension requires uncontrolled BP despite three antihypertensive drugs from complementary classes, including a diuretic, at maximally tolerated doses. The combination of atenolol, lisinopril, and amlodipine lacks a diuretic; therefore, it does not meet the standard definition.</w:t>
      </w:r>
    </w:p>
    <w:p w14:paraId="64446690" w14:textId="5A7A3BE8" w:rsidR="00805830" w:rsidRDefault="00805830" w:rsidP="00805830">
      <w:pPr>
        <w:pStyle w:val="ListParagraph"/>
        <w:numPr>
          <w:ilvl w:val="0"/>
          <w:numId w:val="1"/>
        </w:numPr>
        <w:rPr>
          <w:sz w:val="36"/>
          <w:szCs w:val="36"/>
          <w:lang w:val="en-US"/>
        </w:rPr>
      </w:pPr>
      <w:r w:rsidRPr="00805830">
        <w:rPr>
          <w:sz w:val="36"/>
          <w:szCs w:val="36"/>
          <w:lang w:val="en-US"/>
        </w:rPr>
        <w:t>D. Start chlorthalidone plus enalapril.</w:t>
      </w:r>
      <w:r>
        <w:rPr>
          <w:sz w:val="36"/>
          <w:szCs w:val="36"/>
          <w:lang w:val="en-US"/>
        </w:rPr>
        <w:t xml:space="preserve"> </w:t>
      </w:r>
      <w:r w:rsidRPr="00805830">
        <w:rPr>
          <w:sz w:val="36"/>
          <w:szCs w:val="36"/>
          <w:lang w:val="en-US"/>
        </w:rPr>
        <w:t>In patients with diabetes and confirmed BP ≥150/90 mmHg, current ADA guidance recommends initial therapy with two antihypertensive agents. Appropriate classes include ACE inhibitors and thiazide-like diuretics. Enalapril provides renal/cardiovascular protection, while chlorthalidone adds effective BP reduction. Atenolol is not preferred without a specific indication such as coronary disease.</w:t>
      </w:r>
    </w:p>
    <w:p w14:paraId="5A323635" w14:textId="14F57226" w:rsidR="00805830" w:rsidRDefault="00805830" w:rsidP="00805830">
      <w:pPr>
        <w:pStyle w:val="ListParagraph"/>
        <w:numPr>
          <w:ilvl w:val="0"/>
          <w:numId w:val="1"/>
        </w:numPr>
        <w:rPr>
          <w:sz w:val="36"/>
          <w:szCs w:val="36"/>
          <w:lang w:val="en-US"/>
        </w:rPr>
      </w:pPr>
      <w:r w:rsidRPr="00805830">
        <w:rPr>
          <w:sz w:val="36"/>
          <w:szCs w:val="36"/>
          <w:lang w:val="en-US"/>
        </w:rPr>
        <w:t xml:space="preserve">True. In selected high-risk circumstances, lipid-lowering therapy may be continued before conception when the expected cardiovascular benefits outweigh potential risks to the pregnancy. This decision should be individualized, considering the person’s cardiovascular risk, underlying condition, and the specific lipid-lowering </w:t>
      </w:r>
      <w:r w:rsidRPr="00805830">
        <w:rPr>
          <w:sz w:val="36"/>
          <w:szCs w:val="36"/>
          <w:lang w:val="en-US"/>
        </w:rPr>
        <w:lastRenderedPageBreak/>
        <w:t>medication. Specialist consultation and careful preconception planning are recommended.</w:t>
      </w:r>
    </w:p>
    <w:p w14:paraId="676AA35F" w14:textId="102945AE" w:rsidR="00805830" w:rsidRDefault="00805830" w:rsidP="00805830">
      <w:pPr>
        <w:pStyle w:val="ListParagraph"/>
        <w:numPr>
          <w:ilvl w:val="0"/>
          <w:numId w:val="1"/>
        </w:numPr>
        <w:rPr>
          <w:sz w:val="36"/>
          <w:szCs w:val="36"/>
          <w:lang w:val="en-US"/>
        </w:rPr>
      </w:pPr>
      <w:r w:rsidRPr="00805830">
        <w:rPr>
          <w:sz w:val="36"/>
          <w:szCs w:val="36"/>
          <w:lang w:val="en-US"/>
        </w:rPr>
        <w:t>False. Fibrates are not recommended as an add-on to statin therapy for additional cardiovascular risk reduction in people with type 2 diabetes. Trials such as ACCORD showed no significant reduction in cardiovascular events with statin–fibrate combination therapy. The ADA 2026 Standards specifically recommend against adding fibrates to statins for cardiovascular risk reduction.</w:t>
      </w:r>
    </w:p>
    <w:p w14:paraId="5C5853DA" w14:textId="2A01973E" w:rsidR="00805830" w:rsidRDefault="00805830" w:rsidP="00805830">
      <w:pPr>
        <w:pStyle w:val="ListParagraph"/>
        <w:numPr>
          <w:ilvl w:val="0"/>
          <w:numId w:val="1"/>
        </w:numPr>
        <w:rPr>
          <w:sz w:val="36"/>
          <w:szCs w:val="36"/>
          <w:lang w:val="en-US"/>
        </w:rPr>
      </w:pPr>
      <w:r w:rsidRPr="00805830">
        <w:rPr>
          <w:sz w:val="36"/>
          <w:szCs w:val="36"/>
          <w:lang w:val="en-US"/>
        </w:rPr>
        <w:t>True. In the ADA Standards of Care 2026, aspirin (75–162 mg/day) may be considered for primary prevention in people with diabetes aged ≥50 years who have at least one additional cardiovascular risk factor, such as hypertension, provided they are not at increased bleeding risk. The decision should involve shared discussion because cardiovascular benefit is modest and bleeding risk is increased</w:t>
      </w:r>
    </w:p>
    <w:p w14:paraId="0ACE34C1" w14:textId="703A29B5" w:rsidR="00805830" w:rsidRDefault="00805830" w:rsidP="00805830">
      <w:pPr>
        <w:pStyle w:val="ListParagraph"/>
        <w:numPr>
          <w:ilvl w:val="0"/>
          <w:numId w:val="1"/>
        </w:numPr>
        <w:rPr>
          <w:sz w:val="36"/>
          <w:szCs w:val="36"/>
          <w:lang w:val="en-US"/>
        </w:rPr>
      </w:pPr>
      <w:r w:rsidRPr="00805830">
        <w:rPr>
          <w:sz w:val="36"/>
          <w:szCs w:val="36"/>
          <w:lang w:val="en-US"/>
        </w:rPr>
        <w:t>False. Diabetes increases ASCVD risk, but routine screening for coronary artery disease in asymptomatic people with diabetes is not recommended, because it has not been shown to improve outcomes when ASCVD risk factors are appropriately treated. Screening is considered when symptoms/signs of cardiovascular disease or abnormal ECG findings are present.</w:t>
      </w:r>
    </w:p>
    <w:p w14:paraId="0E4EAACB" w14:textId="3FFB9A11" w:rsidR="00805830" w:rsidRDefault="00805830" w:rsidP="00805830">
      <w:pPr>
        <w:pStyle w:val="ListParagraph"/>
        <w:numPr>
          <w:ilvl w:val="0"/>
          <w:numId w:val="1"/>
        </w:numPr>
        <w:rPr>
          <w:sz w:val="36"/>
          <w:szCs w:val="36"/>
          <w:lang w:val="en-US"/>
        </w:rPr>
      </w:pPr>
      <w:r w:rsidRPr="00805830">
        <w:rPr>
          <w:sz w:val="36"/>
          <w:szCs w:val="36"/>
          <w:lang w:val="en-US"/>
        </w:rPr>
        <w:t>C. Add dapagliflozin, rosuvastatin, and semaglutide.</w:t>
      </w:r>
      <w:r>
        <w:rPr>
          <w:sz w:val="36"/>
          <w:szCs w:val="36"/>
          <w:lang w:val="en-US"/>
        </w:rPr>
        <w:t xml:space="preserve"> </w:t>
      </w:r>
      <w:r w:rsidRPr="00805830">
        <w:rPr>
          <w:sz w:val="36"/>
          <w:szCs w:val="36"/>
          <w:lang w:val="en-US"/>
        </w:rPr>
        <w:t xml:space="preserve">He has established ASCVD (prior MI) plus diabetes and smoking. Current guidelines recommend a high-intensity statin for secondary prevention and an SGLT2 inhibitor </w:t>
      </w:r>
      <w:r w:rsidRPr="00805830">
        <w:rPr>
          <w:sz w:val="36"/>
          <w:szCs w:val="36"/>
          <w:lang w:val="en-US"/>
        </w:rPr>
        <w:lastRenderedPageBreak/>
        <w:t>and/or GLP-1 receptor agonist with cardiovascular benefit, independent of HbA1c. Combination SGLT2 + GLP-1 therapy may provide additive cardiovascular benefit.</w:t>
      </w:r>
    </w:p>
    <w:p w14:paraId="1A72155D" w14:textId="49AD23D2" w:rsidR="00805830" w:rsidRDefault="00805830" w:rsidP="00805830">
      <w:pPr>
        <w:pStyle w:val="ListParagraph"/>
        <w:numPr>
          <w:ilvl w:val="0"/>
          <w:numId w:val="1"/>
        </w:numPr>
        <w:rPr>
          <w:sz w:val="36"/>
          <w:szCs w:val="36"/>
          <w:lang w:val="en-US"/>
        </w:rPr>
      </w:pPr>
      <w:r w:rsidRPr="00805830">
        <w:rPr>
          <w:sz w:val="36"/>
          <w:szCs w:val="36"/>
          <w:lang w:val="en-US"/>
        </w:rPr>
        <w:t>True.</w:t>
      </w:r>
      <w:r>
        <w:rPr>
          <w:sz w:val="36"/>
          <w:szCs w:val="36"/>
          <w:lang w:val="en-US"/>
        </w:rPr>
        <w:t xml:space="preserve"> </w:t>
      </w:r>
      <w:r w:rsidRPr="00805830">
        <w:rPr>
          <w:sz w:val="36"/>
          <w:szCs w:val="36"/>
          <w:lang w:val="en-US"/>
        </w:rPr>
        <w:t>In type 2 diabetes, chronic kidney disease (CKD) can occur without diabetic retinopathy. Unlike type 1 diabetes, where retinopathy commonly accompanies diabetic nephropathy, the association is less consistent in type 2 diabetes. CKD may result from diabetic kidney disease or other causes such as hypertension and aging. Therefore, the absence of retinopathy does not exclude CKD in a person with type 2 diabetes.</w:t>
      </w:r>
    </w:p>
    <w:p w14:paraId="54F4419E" w14:textId="3DFB39F9" w:rsidR="00805830" w:rsidRDefault="00805830" w:rsidP="00805830">
      <w:pPr>
        <w:pStyle w:val="ListParagraph"/>
        <w:numPr>
          <w:ilvl w:val="0"/>
          <w:numId w:val="1"/>
        </w:numPr>
        <w:rPr>
          <w:sz w:val="36"/>
          <w:szCs w:val="36"/>
          <w:lang w:val="en-US"/>
        </w:rPr>
      </w:pPr>
      <w:r w:rsidRPr="00805830">
        <w:rPr>
          <w:sz w:val="36"/>
          <w:szCs w:val="36"/>
          <w:lang w:val="en-US"/>
        </w:rPr>
        <w:t>False. In type 2 diabetes, annual kidney assessment with UACR and eGFR should begin at the time of diagnosis, regardless of treatment status. The “5 years after diagnosis” recommendation applies to type 1 diabetes, not type 2 diabetes.</w:t>
      </w:r>
    </w:p>
    <w:p w14:paraId="18A5DB00" w14:textId="234B072F" w:rsidR="00805830" w:rsidRDefault="000937EE" w:rsidP="000937EE">
      <w:pPr>
        <w:pStyle w:val="ListParagraph"/>
        <w:numPr>
          <w:ilvl w:val="0"/>
          <w:numId w:val="1"/>
        </w:numPr>
        <w:rPr>
          <w:sz w:val="36"/>
          <w:szCs w:val="36"/>
          <w:lang w:val="en-US"/>
        </w:rPr>
      </w:pPr>
      <w:r w:rsidRPr="000937EE">
        <w:rPr>
          <w:sz w:val="36"/>
          <w:szCs w:val="36"/>
          <w:lang w:val="en-US"/>
        </w:rPr>
        <w:t>Most appropriate HbA1c goal: &lt;7.0–7.5%.</w:t>
      </w:r>
      <w:r>
        <w:rPr>
          <w:sz w:val="36"/>
          <w:szCs w:val="36"/>
          <w:lang w:val="en-US"/>
        </w:rPr>
        <w:t xml:space="preserve"> </w:t>
      </w:r>
      <w:r w:rsidRPr="000937EE">
        <w:rPr>
          <w:sz w:val="36"/>
          <w:szCs w:val="36"/>
          <w:lang w:val="en-US"/>
        </w:rPr>
        <w:t>At 62, with intact cognitive/functional status, controlled BP, and relatively stable comorbidity, he fits the ADA’s “healthy older adult” category. His microalbuminuria (UACR ~50 mg/g) indicates CKD risk but does not by itself justify a relaxed target of &lt;8%. Since he uses CGM, a complementary goal is time-in-range (70–180 mg/dL) ≥70%, while avoiding significant hypoglycemia</w:t>
      </w:r>
      <w:r>
        <w:rPr>
          <w:sz w:val="36"/>
          <w:szCs w:val="36"/>
          <w:lang w:val="en-US"/>
        </w:rPr>
        <w:t>.</w:t>
      </w:r>
    </w:p>
    <w:p w14:paraId="36780B26" w14:textId="6A0679C5" w:rsidR="000937EE" w:rsidRDefault="000937EE" w:rsidP="000937EE">
      <w:pPr>
        <w:pStyle w:val="ListParagraph"/>
        <w:numPr>
          <w:ilvl w:val="0"/>
          <w:numId w:val="1"/>
        </w:numPr>
        <w:rPr>
          <w:sz w:val="36"/>
          <w:szCs w:val="36"/>
          <w:lang w:val="en-US"/>
        </w:rPr>
      </w:pPr>
      <w:r w:rsidRPr="000937EE">
        <w:rPr>
          <w:sz w:val="36"/>
          <w:szCs w:val="36"/>
          <w:lang w:val="en-US"/>
        </w:rPr>
        <w:t>True.</w:t>
      </w:r>
      <w:r>
        <w:rPr>
          <w:sz w:val="36"/>
          <w:szCs w:val="36"/>
          <w:lang w:val="en-US"/>
        </w:rPr>
        <w:t xml:space="preserve"> </w:t>
      </w:r>
      <w:r w:rsidRPr="000937EE">
        <w:rPr>
          <w:sz w:val="36"/>
          <w:szCs w:val="36"/>
          <w:lang w:val="en-US"/>
        </w:rPr>
        <w:t xml:space="preserve">At the end of life, the goal of diabetes management shifts from long-term prevention of complications to comfort and symptom control. Most </w:t>
      </w:r>
      <w:r w:rsidRPr="000937EE">
        <w:rPr>
          <w:sz w:val="36"/>
          <w:szCs w:val="36"/>
          <w:lang w:val="en-US"/>
        </w:rPr>
        <w:lastRenderedPageBreak/>
        <w:t>glucose-lowering medications can therefore be discontinued, particularly when oral intake is poor or the patient is unconscious. Insulin may sometimes be continued, especially in patients with type 1 diabetes or those at risk of symptomatic hyperglycemia or diabetic ketoacidosis.</w:t>
      </w:r>
    </w:p>
    <w:p w14:paraId="1499E233" w14:textId="17939C9C" w:rsidR="000937EE" w:rsidRDefault="000937EE" w:rsidP="000937EE">
      <w:pPr>
        <w:pStyle w:val="ListParagraph"/>
        <w:numPr>
          <w:ilvl w:val="0"/>
          <w:numId w:val="1"/>
        </w:numPr>
        <w:rPr>
          <w:sz w:val="36"/>
          <w:szCs w:val="36"/>
          <w:lang w:val="en-US"/>
        </w:rPr>
      </w:pPr>
      <w:r w:rsidRPr="000937EE">
        <w:rPr>
          <w:sz w:val="36"/>
          <w:szCs w:val="36"/>
          <w:lang w:val="en-US"/>
        </w:rPr>
        <w:t>False. Long-term diabetes is associated with hearing impairment and reduced sense of smell. However, current evidence does not consistently show impairment of taste. Chronic hyperglycemia and diabetes-related microvascular and nerve changes may contribute to hearing and olfactory dysfunction. Therefore, because the statement includes taste impairment, it is considered false</w:t>
      </w:r>
      <w:r>
        <w:rPr>
          <w:sz w:val="36"/>
          <w:szCs w:val="36"/>
          <w:lang w:val="en-US"/>
        </w:rPr>
        <w:t>.</w:t>
      </w:r>
    </w:p>
    <w:p w14:paraId="3203B151" w14:textId="1033A5AA" w:rsidR="000937EE" w:rsidRPr="000937EE" w:rsidRDefault="000937EE" w:rsidP="000937EE">
      <w:pPr>
        <w:pStyle w:val="ListParagraph"/>
        <w:numPr>
          <w:ilvl w:val="0"/>
          <w:numId w:val="1"/>
        </w:numPr>
        <w:rPr>
          <w:sz w:val="36"/>
          <w:szCs w:val="36"/>
          <w:lang w:val="en-US"/>
        </w:rPr>
      </w:pPr>
      <w:r w:rsidRPr="000937EE">
        <w:rPr>
          <w:sz w:val="36"/>
          <w:szCs w:val="36"/>
          <w:lang w:val="en-US"/>
        </w:rPr>
        <w:t>False. RAS inhibitors (ACE inhibitors/ARBs) are beneficial for secondary prevention—slowing CKD progression in T2D with hypertension and albuminuria. However, they are not recommended for primary prevention of CKD in patients with normal BP, normal UACR, and normal eGFR.</w:t>
      </w:r>
    </w:p>
    <w:sectPr w:rsidR="000937EE" w:rsidRPr="00093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E36A2"/>
    <w:multiLevelType w:val="hybridMultilevel"/>
    <w:tmpl w:val="817841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2339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EA"/>
    <w:rsid w:val="000715CD"/>
    <w:rsid w:val="000937EE"/>
    <w:rsid w:val="004456A5"/>
    <w:rsid w:val="004B72EA"/>
    <w:rsid w:val="006E0FBC"/>
    <w:rsid w:val="00740937"/>
    <w:rsid w:val="00805830"/>
    <w:rsid w:val="00A572C7"/>
    <w:rsid w:val="00AC4361"/>
    <w:rsid w:val="00B96B49"/>
    <w:rsid w:val="00C90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74112"/>
  <w15:chartTrackingRefBased/>
  <w15:docId w15:val="{49B7D311-C9DA-4335-BC3B-70BE9A781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2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EA"/>
    <w:rPr>
      <w:rFonts w:eastAsiaTheme="majorEastAsia" w:cstheme="majorBidi"/>
      <w:color w:val="272727" w:themeColor="text1" w:themeTint="D8"/>
    </w:rPr>
  </w:style>
  <w:style w:type="paragraph" w:styleId="Title">
    <w:name w:val="Title"/>
    <w:basedOn w:val="Normal"/>
    <w:next w:val="Normal"/>
    <w:link w:val="TitleChar"/>
    <w:uiPriority w:val="10"/>
    <w:qFormat/>
    <w:rsid w:val="004B7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EA"/>
    <w:pPr>
      <w:spacing w:before="160"/>
      <w:jc w:val="center"/>
    </w:pPr>
    <w:rPr>
      <w:i/>
      <w:iCs/>
      <w:color w:val="404040" w:themeColor="text1" w:themeTint="BF"/>
    </w:rPr>
  </w:style>
  <w:style w:type="character" w:customStyle="1" w:styleId="QuoteChar">
    <w:name w:val="Quote Char"/>
    <w:basedOn w:val="DefaultParagraphFont"/>
    <w:link w:val="Quote"/>
    <w:uiPriority w:val="29"/>
    <w:rsid w:val="004B72EA"/>
    <w:rPr>
      <w:i/>
      <w:iCs/>
      <w:color w:val="404040" w:themeColor="text1" w:themeTint="BF"/>
    </w:rPr>
  </w:style>
  <w:style w:type="paragraph" w:styleId="ListParagraph">
    <w:name w:val="List Paragraph"/>
    <w:basedOn w:val="Normal"/>
    <w:uiPriority w:val="34"/>
    <w:qFormat/>
    <w:rsid w:val="004B72EA"/>
    <w:pPr>
      <w:ind w:left="720"/>
      <w:contextualSpacing/>
    </w:pPr>
  </w:style>
  <w:style w:type="character" w:styleId="IntenseEmphasis">
    <w:name w:val="Intense Emphasis"/>
    <w:basedOn w:val="DefaultParagraphFont"/>
    <w:uiPriority w:val="21"/>
    <w:qFormat/>
    <w:rsid w:val="004B72EA"/>
    <w:rPr>
      <w:i/>
      <w:iCs/>
      <w:color w:val="2F5496" w:themeColor="accent1" w:themeShade="BF"/>
    </w:rPr>
  </w:style>
  <w:style w:type="paragraph" w:styleId="IntenseQuote">
    <w:name w:val="Intense Quote"/>
    <w:basedOn w:val="Normal"/>
    <w:next w:val="Normal"/>
    <w:link w:val="IntenseQuoteChar"/>
    <w:uiPriority w:val="30"/>
    <w:qFormat/>
    <w:rsid w:val="004B7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2EA"/>
    <w:rPr>
      <w:i/>
      <w:iCs/>
      <w:color w:val="2F5496" w:themeColor="accent1" w:themeShade="BF"/>
    </w:rPr>
  </w:style>
  <w:style w:type="character" w:styleId="IntenseReference">
    <w:name w:val="Intense Reference"/>
    <w:basedOn w:val="DefaultParagraphFont"/>
    <w:uiPriority w:val="32"/>
    <w:qFormat/>
    <w:rsid w:val="004B72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1850</Words>
  <Characters>10548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Dhananjay Tiwari</dc:creator>
  <cp:keywords/>
  <dc:description/>
  <cp:lastModifiedBy>Dhananjay Tiwari</cp:lastModifiedBy>
  <cp:revision>2</cp:revision>
  <dcterms:created xsi:type="dcterms:W3CDTF">2026-08-09T14:06:00Z</dcterms:created>
  <dcterms:modified xsi:type="dcterms:W3CDTF">2026-08-09T15:48:00Z</dcterms:modified>
</cp:coreProperties>
</file>