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E5F2" w14:textId="1CCCF02D" w:rsidR="00AC4361" w:rsidRDefault="00F62DD3">
      <w:pPr>
        <w:rPr>
          <w:sz w:val="32"/>
          <w:szCs w:val="32"/>
          <w:lang w:val="en-US"/>
        </w:rPr>
      </w:pPr>
      <w:r>
        <w:rPr>
          <w:sz w:val="32"/>
          <w:szCs w:val="32"/>
          <w:lang w:val="en-US"/>
        </w:rPr>
        <w:t xml:space="preserve">                                            Claude LLM Answers</w:t>
      </w:r>
    </w:p>
    <w:p w14:paraId="4B8B7692" w14:textId="11DF2815" w:rsidR="00F62DD3" w:rsidRPr="00F62DD3" w:rsidRDefault="00F62DD3" w:rsidP="00F62DD3">
      <w:pPr>
        <w:rPr>
          <w:sz w:val="32"/>
          <w:szCs w:val="32"/>
          <w:lang w:val="en-US"/>
        </w:rPr>
      </w:pPr>
      <w:r>
        <w:rPr>
          <w:sz w:val="32"/>
          <w:szCs w:val="32"/>
          <w:lang w:val="en-US"/>
        </w:rPr>
        <w:t>1.</w:t>
      </w:r>
      <w:r w:rsidRPr="00F62DD3">
        <w:t xml:space="preserve"> </w:t>
      </w:r>
      <w:r w:rsidRPr="00F62DD3">
        <w:rPr>
          <w:sz w:val="32"/>
          <w:szCs w:val="32"/>
          <w:lang w:val="en-US"/>
        </w:rPr>
        <w:t>Diagnosis: Prediabetes (Impaired Fasting Glucose).</w:t>
      </w:r>
    </w:p>
    <w:p w14:paraId="40901DA6" w14:textId="6E3F6A55" w:rsidR="00F62DD3" w:rsidRDefault="00F62DD3" w:rsidP="00F62DD3">
      <w:pPr>
        <w:rPr>
          <w:sz w:val="32"/>
          <w:szCs w:val="32"/>
          <w:lang w:val="en-US"/>
        </w:rPr>
      </w:pPr>
      <w:r w:rsidRPr="00F62DD3">
        <w:rPr>
          <w:sz w:val="32"/>
          <w:szCs w:val="32"/>
          <w:lang w:val="en-US"/>
        </w:rPr>
        <w:t>FPG 109 mg/dL falls in the prediabetes range (100–125 mg/dL), while the 2-hour OGTT (116 mg/dL) is normal (&lt;140 mg/dL), ruling out diabetes by that criterion. HbA1c is unreliable in hemodialysis patients due to altered RBC turnover/survival, so 7.5% cannot be used diagnostically. A single random glucose of 250 mg/dL, without documented classic hyperglycemic symptoms, doesn't confirm diabetes. Thus, FPG is the most valid criterion here.</w:t>
      </w:r>
    </w:p>
    <w:p w14:paraId="6AE998ED" w14:textId="43CEF86F" w:rsidR="00F62DD3" w:rsidRDefault="00F62DD3" w:rsidP="00F62DD3">
      <w:pPr>
        <w:rPr>
          <w:sz w:val="32"/>
          <w:szCs w:val="32"/>
          <w:lang w:val="en-US"/>
        </w:rPr>
      </w:pPr>
      <w:r>
        <w:rPr>
          <w:sz w:val="32"/>
          <w:szCs w:val="32"/>
          <w:lang w:val="en-US"/>
        </w:rPr>
        <w:t xml:space="preserve">2. </w:t>
      </w:r>
      <w:r w:rsidRPr="00F62DD3">
        <w:rPr>
          <w:sz w:val="32"/>
          <w:szCs w:val="32"/>
          <w:lang w:val="en-US"/>
        </w:rPr>
        <w:t>The FPG (99 mg/dL) is most unlikely.</w:t>
      </w:r>
      <w:r>
        <w:rPr>
          <w:sz w:val="32"/>
          <w:szCs w:val="32"/>
          <w:lang w:val="en-US"/>
        </w:rPr>
        <w:t xml:space="preserve"> </w:t>
      </w:r>
      <w:r w:rsidRPr="00F62DD3">
        <w:rPr>
          <w:sz w:val="32"/>
          <w:szCs w:val="32"/>
          <w:lang w:val="en-US"/>
        </w:rPr>
        <w:t>With a 15-year history of T2DM, HbA1c of 6.5% (diabetic threshold), and 2-hour OGTT of 199 mg/dL (near-diabetic/diabetic range), the fasting glucose should also be elevated (≥126 mg/dL) to be consistent. A normal FPG of 99 mg/dL is discordant with the other three markers, which all indicate poor glycemic control, making it the outlier finding.</w:t>
      </w:r>
    </w:p>
    <w:p w14:paraId="722EF19B" w14:textId="3AC02139" w:rsidR="00F62DD3" w:rsidRDefault="00F62DD3" w:rsidP="00F62DD3">
      <w:pPr>
        <w:rPr>
          <w:sz w:val="32"/>
          <w:szCs w:val="32"/>
          <w:lang w:val="en-US"/>
        </w:rPr>
      </w:pPr>
      <w:r>
        <w:rPr>
          <w:sz w:val="32"/>
          <w:szCs w:val="32"/>
          <w:lang w:val="en-US"/>
        </w:rPr>
        <w:t>3.</w:t>
      </w:r>
      <w:r w:rsidRPr="00F62DD3">
        <w:rPr>
          <w:sz w:val="32"/>
          <w:szCs w:val="32"/>
          <w:lang w:val="en-US"/>
        </w:rPr>
        <w:t>True.</w:t>
      </w:r>
      <w:r>
        <w:rPr>
          <w:sz w:val="32"/>
          <w:szCs w:val="32"/>
          <w:lang w:val="en-US"/>
        </w:rPr>
        <w:t xml:space="preserve"> </w:t>
      </w:r>
      <w:r w:rsidRPr="00F62DD3">
        <w:rPr>
          <w:sz w:val="32"/>
          <w:szCs w:val="32"/>
          <w:lang w:val="en-US"/>
        </w:rPr>
        <w:t>The optimal screening interval for type 2 diabetes hasn't been established by trials, but expert guidelines (e.g., ADA, USPSTF) suggest that if screening results are normal, repeating every 3 years is reasonable — though some sources cite 2–3 years as an acceptable range, depending on risk factors. Shorter intervals may be warranted for higher-risk individuals (e.g., prediabetes, obesity), while lower-risk people can be screened less frequently.</w:t>
      </w:r>
    </w:p>
    <w:p w14:paraId="1A2938AE" w14:textId="395C96ED" w:rsidR="00F62DD3" w:rsidRDefault="00F62DD3" w:rsidP="00F62DD3">
      <w:pPr>
        <w:rPr>
          <w:sz w:val="32"/>
          <w:szCs w:val="32"/>
          <w:lang w:val="en-US"/>
        </w:rPr>
      </w:pPr>
      <w:r>
        <w:rPr>
          <w:sz w:val="32"/>
          <w:szCs w:val="32"/>
          <w:lang w:val="en-US"/>
        </w:rPr>
        <w:t xml:space="preserve">4. </w:t>
      </w:r>
      <w:r w:rsidRPr="00F62DD3">
        <w:rPr>
          <w:sz w:val="32"/>
          <w:szCs w:val="32"/>
          <w:lang w:val="en-US"/>
        </w:rPr>
        <w:t>False.</w:t>
      </w:r>
      <w:r>
        <w:rPr>
          <w:sz w:val="32"/>
          <w:szCs w:val="32"/>
          <w:lang w:val="en-US"/>
        </w:rPr>
        <w:t xml:space="preserve"> </w:t>
      </w:r>
      <w:r w:rsidRPr="00F62DD3">
        <w:rPr>
          <w:sz w:val="32"/>
          <w:szCs w:val="32"/>
          <w:lang w:val="en-US"/>
        </w:rPr>
        <w:t>Annual monitoring for diabetes-related complications (nephropathy, retinopathy, neuropathy) in cystic fibrosis-related diabetes (CFRD) is recommended to begin 5 years after the diagnosis of CFRD, not immediately at diagnosis. This mirrors the approach used in type 1 diabetes. Screening includes urine microalbumin, blood pressure, and dilated eye exams, alongside continued nutritional and pulmonary monitoring specific to CF care.</w:t>
      </w:r>
    </w:p>
    <w:p w14:paraId="76A1A7A2" w14:textId="56792DE5" w:rsidR="00F62DD3" w:rsidRDefault="00F62DD3" w:rsidP="00AB4AB6">
      <w:pPr>
        <w:rPr>
          <w:sz w:val="32"/>
          <w:szCs w:val="32"/>
          <w:lang w:val="en-US"/>
        </w:rPr>
      </w:pPr>
      <w:r>
        <w:rPr>
          <w:sz w:val="32"/>
          <w:szCs w:val="32"/>
          <w:lang w:val="en-US"/>
        </w:rPr>
        <w:lastRenderedPageBreak/>
        <w:t xml:space="preserve">5. </w:t>
      </w:r>
      <w:r w:rsidR="00AB4AB6" w:rsidRPr="00AB4AB6">
        <w:rPr>
          <w:sz w:val="32"/>
          <w:szCs w:val="32"/>
          <w:lang w:val="en-US"/>
        </w:rPr>
        <w:t>Yes.</w:t>
      </w:r>
      <w:r w:rsidR="00AB4AB6">
        <w:rPr>
          <w:sz w:val="32"/>
          <w:szCs w:val="32"/>
          <w:lang w:val="en-US"/>
        </w:rPr>
        <w:t xml:space="preserve"> </w:t>
      </w:r>
      <w:r w:rsidR="00AB4AB6" w:rsidRPr="00AB4AB6">
        <w:rPr>
          <w:sz w:val="32"/>
          <w:szCs w:val="32"/>
          <w:lang w:val="en-US"/>
        </w:rPr>
        <w:t>Metformin can be considered in prediabetes, especially in patients under 60 years, with BMI ≥35 kg/m², history of gestational diabetes, or rising HbA1c despite lifestyle changes. Since this patient is young (25 years), metformin may be considered per ADA guidelines, particularly if lifestyle modification alone doesn't achieve adequate glycemic control or if additional risk factors (obesity, family history) are present.</w:t>
      </w:r>
    </w:p>
    <w:p w14:paraId="6C5FBC83" w14:textId="663EDFAF" w:rsidR="00AB4AB6" w:rsidRDefault="00AB4AB6" w:rsidP="00AB4AB6">
      <w:pPr>
        <w:rPr>
          <w:sz w:val="32"/>
          <w:szCs w:val="32"/>
          <w:lang w:val="en-US"/>
        </w:rPr>
      </w:pPr>
      <w:r>
        <w:rPr>
          <w:sz w:val="32"/>
          <w:szCs w:val="32"/>
          <w:lang w:val="en-US"/>
        </w:rPr>
        <w:t xml:space="preserve">6. </w:t>
      </w:r>
      <w:r w:rsidRPr="00AB4AB6">
        <w:rPr>
          <w:sz w:val="32"/>
          <w:szCs w:val="32"/>
          <w:lang w:val="en-US"/>
        </w:rPr>
        <w:t>In a 55-year-old with type 2 diabetes, guidelines mandate starting a statin (e.g., atorvastatin) regardless of baseline LDL, since diabetes itself confers high cardiovascular risk. This applies even without established atherosclerotic disease, as primary prevention.</w:t>
      </w:r>
    </w:p>
    <w:p w14:paraId="59DE3E22" w14:textId="1585F777" w:rsidR="00AB4AB6" w:rsidRDefault="00AB4AB6" w:rsidP="00AB4AB6">
      <w:pPr>
        <w:rPr>
          <w:sz w:val="32"/>
          <w:szCs w:val="32"/>
          <w:lang w:val="en-US"/>
        </w:rPr>
      </w:pPr>
      <w:r>
        <w:rPr>
          <w:sz w:val="32"/>
          <w:szCs w:val="32"/>
          <w:lang w:val="en-US"/>
        </w:rPr>
        <w:t xml:space="preserve">7. </w:t>
      </w:r>
      <w:r w:rsidRPr="00AB4AB6">
        <w:rPr>
          <w:sz w:val="32"/>
          <w:szCs w:val="32"/>
          <w:lang w:val="en-US"/>
        </w:rPr>
        <w:t>False.</w:t>
      </w:r>
      <w:r>
        <w:rPr>
          <w:sz w:val="32"/>
          <w:szCs w:val="32"/>
          <w:lang w:val="en-US"/>
        </w:rPr>
        <w:t xml:space="preserve"> </w:t>
      </w:r>
      <w:r w:rsidRPr="00AB4AB6">
        <w:rPr>
          <w:sz w:val="32"/>
          <w:szCs w:val="32"/>
          <w:lang w:val="en-US"/>
        </w:rPr>
        <w:t>Evidence doesn't strongly support this claim. While poor glycemic control is associated with higher fracture risk (via neuropathy, falls, bone quality issues), intensive glycemic control trials (e.g., ACCORD) haven't shown significant fracture reduction. Fracture risk in T2DM is multifactorial—involving bone quality, falls, and medication effects (e.g., thiazolidinediones increase risk)—not simply glucose levels. Some glucose-lowering drugs (SGLT2 inhibitors, TZDs) may even raise fracture risk independent of glycemic benefit.</w:t>
      </w:r>
    </w:p>
    <w:p w14:paraId="74944FB7" w14:textId="7CB6A189" w:rsidR="0049567F" w:rsidRDefault="0049567F" w:rsidP="0049567F">
      <w:pPr>
        <w:rPr>
          <w:sz w:val="32"/>
          <w:szCs w:val="32"/>
          <w:lang w:val="en-US"/>
        </w:rPr>
      </w:pPr>
      <w:r>
        <w:rPr>
          <w:sz w:val="32"/>
          <w:szCs w:val="32"/>
          <w:lang w:val="en-US"/>
        </w:rPr>
        <w:t xml:space="preserve">8. </w:t>
      </w:r>
      <w:r w:rsidRPr="0049567F">
        <w:rPr>
          <w:sz w:val="32"/>
          <w:szCs w:val="32"/>
          <w:lang w:val="en-US"/>
        </w:rPr>
        <w:t>True.</w:t>
      </w:r>
      <w:r>
        <w:rPr>
          <w:sz w:val="32"/>
          <w:szCs w:val="32"/>
          <w:lang w:val="en-US"/>
        </w:rPr>
        <w:t xml:space="preserve"> </w:t>
      </w:r>
      <w:r w:rsidRPr="0049567F">
        <w:rPr>
          <w:sz w:val="32"/>
          <w:szCs w:val="32"/>
          <w:lang w:val="en-US"/>
        </w:rPr>
        <w:t>Poor glycemic control in diabetes has been linked to greater severity of hearing impairment. Chronic hyperglycemia can damage the microvasculature and neural structures of the inner ear (cochlea and auditory nerve), similar to how diabetic microangiopathy affects the retina and kidneys. Studies show higher HbA1c levels correlate with worse hearing thresholds, particularly at higher frequencies. Better glycemic control is therefore considered protective against diabetes-related sensorineural hearing loss.</w:t>
      </w:r>
    </w:p>
    <w:p w14:paraId="19B089A7" w14:textId="6C91D5E1" w:rsidR="0049567F" w:rsidRDefault="0049567F" w:rsidP="0049567F">
      <w:pPr>
        <w:rPr>
          <w:sz w:val="32"/>
          <w:szCs w:val="32"/>
          <w:lang w:val="en-US"/>
        </w:rPr>
      </w:pPr>
      <w:r>
        <w:rPr>
          <w:sz w:val="32"/>
          <w:szCs w:val="32"/>
          <w:lang w:val="en-US"/>
        </w:rPr>
        <w:t xml:space="preserve">9. </w:t>
      </w:r>
      <w:r w:rsidRPr="0049567F">
        <w:rPr>
          <w:sz w:val="32"/>
          <w:szCs w:val="32"/>
          <w:lang w:val="en-US"/>
        </w:rPr>
        <w:t>False.</w:t>
      </w:r>
      <w:r>
        <w:rPr>
          <w:sz w:val="32"/>
          <w:szCs w:val="32"/>
          <w:lang w:val="en-US"/>
        </w:rPr>
        <w:t xml:space="preserve"> </w:t>
      </w:r>
      <w:r w:rsidRPr="0049567F">
        <w:rPr>
          <w:sz w:val="32"/>
          <w:szCs w:val="32"/>
          <w:lang w:val="en-US"/>
        </w:rPr>
        <w:t xml:space="preserve">For people with diabetes, the type of fat matters more than the total amount. Saturated and trans fats should be limited (they raise cardiovascular risk, which is already elevated in diabetes), but healthy unsaturated fats (from nuts, olive oil, fish) are encouraged </w:t>
      </w:r>
      <w:r w:rsidRPr="0049567F">
        <w:rPr>
          <w:sz w:val="32"/>
          <w:szCs w:val="32"/>
          <w:lang w:val="en-US"/>
        </w:rPr>
        <w:lastRenderedPageBreak/>
        <w:t>and can help improve blood sugar control and lipid profiles. Blanket fat restriction isn't the recommended approach—focus is on carbohydrate quality/quantity and fat quality instead.</w:t>
      </w:r>
    </w:p>
    <w:p w14:paraId="3BD0016C" w14:textId="317900B5" w:rsidR="0049567F" w:rsidRDefault="0049567F" w:rsidP="0049567F">
      <w:pPr>
        <w:rPr>
          <w:sz w:val="32"/>
          <w:szCs w:val="32"/>
          <w:lang w:val="en-US"/>
        </w:rPr>
      </w:pPr>
      <w:r>
        <w:rPr>
          <w:sz w:val="32"/>
          <w:szCs w:val="32"/>
          <w:lang w:val="en-US"/>
        </w:rPr>
        <w:t xml:space="preserve">10. </w:t>
      </w:r>
      <w:r w:rsidRPr="0049567F">
        <w:rPr>
          <w:sz w:val="32"/>
          <w:szCs w:val="32"/>
          <w:lang w:val="en-US"/>
        </w:rPr>
        <w:t>A. HbA1c</w:t>
      </w:r>
      <w:r>
        <w:rPr>
          <w:sz w:val="32"/>
          <w:szCs w:val="32"/>
          <w:lang w:val="en-US"/>
        </w:rPr>
        <w:t xml:space="preserve">. </w:t>
      </w:r>
      <w:r w:rsidRPr="0049567F">
        <w:rPr>
          <w:sz w:val="32"/>
          <w:szCs w:val="32"/>
          <w:lang w:val="en-US"/>
        </w:rPr>
        <w:t xml:space="preserve">HbA1c reflects average glycemic control over the preceding 2–3 months, making it ideal for assessing overall glycemic status in a known diabetic rather than a single time-point value. It doesn't require fasting, has less day-to-day biological variability than FPG or OGTT, and isn't affected by acute stress, illness, or </w:t>
      </w:r>
      <w:proofErr w:type="spellStart"/>
      <w:r w:rsidRPr="0049567F">
        <w:rPr>
          <w:sz w:val="32"/>
          <w:szCs w:val="32"/>
          <w:lang w:val="en-US"/>
        </w:rPr>
        <w:t>Ecosprin</w:t>
      </w:r>
      <w:proofErr w:type="spellEnd"/>
      <w:r w:rsidRPr="0049567F">
        <w:rPr>
          <w:sz w:val="32"/>
          <w:szCs w:val="32"/>
          <w:lang w:val="en-US"/>
        </w:rPr>
        <w:t xml:space="preserve"> use. FPG and OGTT only show glucose at one moment, making them less reliable for monitoring long-term control in an established diabetic patient.</w:t>
      </w:r>
    </w:p>
    <w:p w14:paraId="7FB6E021" w14:textId="6B2E399A" w:rsidR="0049567F" w:rsidRDefault="0049567F" w:rsidP="0049567F">
      <w:pPr>
        <w:rPr>
          <w:sz w:val="32"/>
          <w:szCs w:val="32"/>
          <w:lang w:val="en-US"/>
        </w:rPr>
      </w:pPr>
      <w:r>
        <w:rPr>
          <w:sz w:val="32"/>
          <w:szCs w:val="32"/>
          <w:lang w:val="en-US"/>
        </w:rPr>
        <w:t xml:space="preserve">11. </w:t>
      </w:r>
      <w:r w:rsidRPr="0049567F">
        <w:rPr>
          <w:sz w:val="32"/>
          <w:szCs w:val="32"/>
          <w:lang w:val="en-US"/>
        </w:rPr>
        <w:t>True.</w:t>
      </w:r>
      <w:r>
        <w:rPr>
          <w:sz w:val="32"/>
          <w:szCs w:val="32"/>
          <w:lang w:val="en-US"/>
        </w:rPr>
        <w:t xml:space="preserve"> </w:t>
      </w:r>
      <w:r w:rsidRPr="0049567F">
        <w:rPr>
          <w:sz w:val="32"/>
          <w:szCs w:val="32"/>
          <w:lang w:val="en-US"/>
        </w:rPr>
        <w:t>HbA1c testing is recommended at initial diagnosis to establish baseline glycemic control and confirm diagnosis, and subsequently every 3–6 months (or as clinically indicated) during ongoing management. It reflects average blood glucose over 2–3 months, helping assess treatment efficacy, guide therapy adjustments, and monitor long-term complication risk. Regular testing ensures glycemic targets are met and allows timely intervention, making it a standard, essential component of both initial evaluation and continuing diabetes care.</w:t>
      </w:r>
    </w:p>
    <w:p w14:paraId="1EC7FC86" w14:textId="6F786CBC" w:rsidR="0049567F" w:rsidRDefault="0049567F" w:rsidP="0049567F">
      <w:pPr>
        <w:rPr>
          <w:sz w:val="32"/>
          <w:szCs w:val="32"/>
          <w:lang w:val="en-US"/>
        </w:rPr>
      </w:pPr>
      <w:r>
        <w:rPr>
          <w:sz w:val="32"/>
          <w:szCs w:val="32"/>
          <w:lang w:val="en-US"/>
        </w:rPr>
        <w:t xml:space="preserve">12. </w:t>
      </w:r>
      <w:r w:rsidRPr="0049567F">
        <w:rPr>
          <w:sz w:val="32"/>
          <w:szCs w:val="32"/>
          <w:lang w:val="en-US"/>
        </w:rPr>
        <w:t>False.</w:t>
      </w:r>
      <w:r>
        <w:rPr>
          <w:sz w:val="32"/>
          <w:szCs w:val="32"/>
          <w:lang w:val="en-US"/>
        </w:rPr>
        <w:t xml:space="preserve"> </w:t>
      </w:r>
      <w:r w:rsidRPr="0049567F">
        <w:rPr>
          <w:sz w:val="32"/>
          <w:szCs w:val="32"/>
          <w:lang w:val="en-US"/>
        </w:rPr>
        <w:t>Adults with diabetes who have met their glycemic goals should still have HbA1c testing at least twice a year (every 6 months), not just annually. Testing is only reduced to twice yearly for stable, well-controlled patients — it's not stretched to once a year. For patients who are not meeting goals or have had recent therapy changes, testing is recommended quarterly (every 3 months) to monitor progress and adjust treatment as needed.</w:t>
      </w:r>
    </w:p>
    <w:p w14:paraId="15591A19" w14:textId="3F8AA6A8" w:rsidR="0049567F" w:rsidRDefault="0049567F" w:rsidP="0049567F">
      <w:pPr>
        <w:rPr>
          <w:sz w:val="32"/>
          <w:szCs w:val="32"/>
          <w:lang w:val="en-US"/>
        </w:rPr>
      </w:pPr>
      <w:r>
        <w:rPr>
          <w:sz w:val="32"/>
          <w:szCs w:val="32"/>
          <w:lang w:val="en-US"/>
        </w:rPr>
        <w:t xml:space="preserve">13. </w:t>
      </w:r>
      <w:r w:rsidRPr="0049567F">
        <w:rPr>
          <w:sz w:val="32"/>
          <w:szCs w:val="32"/>
          <w:lang w:val="en-US"/>
        </w:rPr>
        <w:t>A. &lt;6.5%</w:t>
      </w:r>
      <w:r>
        <w:rPr>
          <w:sz w:val="32"/>
          <w:szCs w:val="32"/>
          <w:lang w:val="en-US"/>
        </w:rPr>
        <w:t xml:space="preserve">. </w:t>
      </w:r>
      <w:r w:rsidRPr="0049567F">
        <w:rPr>
          <w:sz w:val="32"/>
          <w:szCs w:val="32"/>
          <w:lang w:val="en-US"/>
        </w:rPr>
        <w:t xml:space="preserve">This patient is young (30 years), has a relatively short diabetes duration (5 years), no significant complications, no major comorbidities, and is physically active with good functional status. Per ADA/individualized glycemic target guidelines, such patients </w:t>
      </w:r>
      <w:r w:rsidRPr="0049567F">
        <w:rPr>
          <w:sz w:val="32"/>
          <w:szCs w:val="32"/>
          <w:lang w:val="en-US"/>
        </w:rPr>
        <w:lastRenderedPageBreak/>
        <w:t>benefit from stricter glycemic control to prevent long-term microvascular and macrovascular complications, since they have many years of life ahead and low hypoglycemia risk on metformin monotherapy. A tighter target (&lt;6.5%) is appropriate and achievable here.</w:t>
      </w:r>
    </w:p>
    <w:p w14:paraId="37977D52" w14:textId="2F6DE8F6" w:rsidR="0049567F" w:rsidRDefault="0049567F" w:rsidP="000B7A88">
      <w:pPr>
        <w:rPr>
          <w:sz w:val="32"/>
          <w:szCs w:val="32"/>
          <w:lang w:val="en-US"/>
        </w:rPr>
      </w:pPr>
      <w:r>
        <w:rPr>
          <w:sz w:val="32"/>
          <w:szCs w:val="32"/>
          <w:lang w:val="en-US"/>
        </w:rPr>
        <w:t xml:space="preserve">14. </w:t>
      </w:r>
      <w:r w:rsidR="000B7A88" w:rsidRPr="000B7A88">
        <w:rPr>
          <w:sz w:val="32"/>
          <w:szCs w:val="32"/>
          <w:lang w:val="en-US"/>
        </w:rPr>
        <w:t>C. Ask the patient to intensify lifestyle management</w:t>
      </w:r>
      <w:r w:rsidR="000B7A88">
        <w:rPr>
          <w:sz w:val="32"/>
          <w:szCs w:val="32"/>
          <w:lang w:val="en-US"/>
        </w:rPr>
        <w:t xml:space="preserve">. </w:t>
      </w:r>
      <w:r w:rsidR="000B7A88" w:rsidRPr="000B7A88">
        <w:rPr>
          <w:sz w:val="32"/>
          <w:szCs w:val="32"/>
          <w:lang w:val="en-US"/>
        </w:rPr>
        <w:t xml:space="preserve">His glycemic control is near-target (HbA1c 7.0%, stable FPG) — no need to escalate insulin or add semaglutide. </w:t>
      </w:r>
      <w:proofErr w:type="spellStart"/>
      <w:r w:rsidR="000B7A88" w:rsidRPr="000B7A88">
        <w:rPr>
          <w:sz w:val="32"/>
          <w:szCs w:val="32"/>
          <w:lang w:val="en-US"/>
        </w:rPr>
        <w:t>Finerenone</w:t>
      </w:r>
      <w:proofErr w:type="spellEnd"/>
      <w:r w:rsidR="000B7A88" w:rsidRPr="000B7A88">
        <w:rPr>
          <w:sz w:val="32"/>
          <w:szCs w:val="32"/>
          <w:lang w:val="en-US"/>
        </w:rPr>
        <w:t xml:space="preserve"> is contraindicated here since K⁺ is 5.3 </w:t>
      </w:r>
      <w:proofErr w:type="spellStart"/>
      <w:r w:rsidR="000B7A88" w:rsidRPr="000B7A88">
        <w:rPr>
          <w:sz w:val="32"/>
          <w:szCs w:val="32"/>
          <w:lang w:val="en-US"/>
        </w:rPr>
        <w:t>mEq</w:t>
      </w:r>
      <w:proofErr w:type="spellEnd"/>
      <w:r w:rsidR="000B7A88" w:rsidRPr="000B7A88">
        <w:rPr>
          <w:sz w:val="32"/>
          <w:szCs w:val="32"/>
          <w:lang w:val="en-US"/>
        </w:rPr>
        <w:t xml:space="preserve">/L (hyperkalemia risk with MRAs, especially combined with </w:t>
      </w:r>
      <w:proofErr w:type="spellStart"/>
      <w:r w:rsidR="000B7A88" w:rsidRPr="000B7A88">
        <w:rPr>
          <w:sz w:val="32"/>
          <w:szCs w:val="32"/>
          <w:lang w:val="en-US"/>
        </w:rPr>
        <w:t>ACEi</w:t>
      </w:r>
      <w:proofErr w:type="spellEnd"/>
      <w:r w:rsidR="000B7A88" w:rsidRPr="000B7A88">
        <w:rPr>
          <w:sz w:val="32"/>
          <w:szCs w:val="32"/>
          <w:lang w:val="en-US"/>
        </w:rPr>
        <w:t>). The new backache also warrants evaluation before adding another drug. Reinforcing lifestyle measures is safest while monitoring renal function/potassium and investigating the backache.</w:t>
      </w:r>
    </w:p>
    <w:p w14:paraId="52C55542" w14:textId="3E8D0B1E" w:rsidR="000B7A88" w:rsidRDefault="000B7A88" w:rsidP="007A38CF">
      <w:pPr>
        <w:rPr>
          <w:sz w:val="32"/>
          <w:szCs w:val="32"/>
          <w:lang w:val="en-US"/>
        </w:rPr>
      </w:pPr>
      <w:r>
        <w:rPr>
          <w:sz w:val="32"/>
          <w:szCs w:val="32"/>
          <w:lang w:val="en-US"/>
        </w:rPr>
        <w:t xml:space="preserve">15. </w:t>
      </w:r>
      <w:r w:rsidR="007A38CF" w:rsidRPr="007A38CF">
        <w:rPr>
          <w:sz w:val="32"/>
          <w:szCs w:val="32"/>
          <w:lang w:val="en-US"/>
        </w:rPr>
        <w:t>C. Glargine plus metformin</w:t>
      </w:r>
      <w:r w:rsidR="007A38CF">
        <w:rPr>
          <w:sz w:val="32"/>
          <w:szCs w:val="32"/>
          <w:lang w:val="en-US"/>
        </w:rPr>
        <w:t xml:space="preserve">. </w:t>
      </w:r>
      <w:r w:rsidR="007A38CF" w:rsidRPr="007A38CF">
        <w:rPr>
          <w:sz w:val="32"/>
          <w:szCs w:val="32"/>
          <w:lang w:val="en-US"/>
        </w:rPr>
        <w:t>An HbA1c of 9% with unintentional weight loss suggests significant hyperglycemia with a catabolic state, indicating relative insulin deficiency. Guidelines recommend insulin (basal, e.g., glargine) when HbA1c &gt;9-10% with symptomatic/catabolic features, combined with metformin as first-line oral agent to improve insulin sensitivity and limit weight gain. GLP-1 agonists or SGLT2 inhibitors alone are insufficient for such severe hyperglycemia with catabolism.</w:t>
      </w:r>
    </w:p>
    <w:p w14:paraId="42A080AA" w14:textId="7189BCA2" w:rsidR="007A38CF" w:rsidRDefault="007A38CF" w:rsidP="00EB0D7C">
      <w:pPr>
        <w:rPr>
          <w:sz w:val="32"/>
          <w:szCs w:val="32"/>
          <w:lang w:val="en-US"/>
        </w:rPr>
      </w:pPr>
      <w:r>
        <w:rPr>
          <w:sz w:val="32"/>
          <w:szCs w:val="32"/>
          <w:lang w:val="en-US"/>
        </w:rPr>
        <w:t xml:space="preserve">16. </w:t>
      </w:r>
      <w:r w:rsidR="00EB0D7C" w:rsidRPr="00EB0D7C">
        <w:rPr>
          <w:sz w:val="32"/>
          <w:szCs w:val="32"/>
          <w:lang w:val="en-US"/>
        </w:rPr>
        <w:t>False.</w:t>
      </w:r>
      <w:r w:rsidR="00EB0D7C">
        <w:rPr>
          <w:sz w:val="32"/>
          <w:szCs w:val="32"/>
          <w:lang w:val="en-US"/>
        </w:rPr>
        <w:t xml:space="preserve"> </w:t>
      </w:r>
      <w:r w:rsidR="00EB0D7C" w:rsidRPr="00EB0D7C">
        <w:rPr>
          <w:sz w:val="32"/>
          <w:szCs w:val="32"/>
          <w:lang w:val="en-US"/>
        </w:rPr>
        <w:t>Studies (e.g., the Swedish National Diabetes Register cohort) show that even when major risk factors—HbA1c, blood pressure, LDL cholesterol, smoking, and albuminuria—are all controlled within target ranges, people with type 2 diabetes still have modestly higher cardiovascular and mortality risk than the general population. Optimal control substantially narrows the gap but doesn't fully eliminate it, likely due to residual risk from diabetes duration, subclinical vascular damage, and other unmeasured factors.</w:t>
      </w:r>
    </w:p>
    <w:p w14:paraId="7840ADD2" w14:textId="77777777" w:rsidR="00EB0D7C" w:rsidRPr="00EB0D7C" w:rsidRDefault="00EB0D7C" w:rsidP="00EB0D7C">
      <w:pPr>
        <w:rPr>
          <w:sz w:val="32"/>
          <w:szCs w:val="32"/>
          <w:lang w:val="en-US"/>
        </w:rPr>
      </w:pPr>
      <w:r>
        <w:rPr>
          <w:sz w:val="32"/>
          <w:szCs w:val="32"/>
          <w:lang w:val="en-US"/>
        </w:rPr>
        <w:t xml:space="preserve">17. </w:t>
      </w:r>
      <w:r w:rsidRPr="00EB0D7C">
        <w:rPr>
          <w:sz w:val="32"/>
          <w:szCs w:val="32"/>
          <w:lang w:val="en-US"/>
        </w:rPr>
        <w:t>C. Ask the patient to return after 4 hours for repeat measurement.</w:t>
      </w:r>
    </w:p>
    <w:p w14:paraId="64595084" w14:textId="77777777" w:rsidR="00EB0D7C" w:rsidRPr="00EB0D7C" w:rsidRDefault="00EB0D7C" w:rsidP="00EB0D7C">
      <w:pPr>
        <w:rPr>
          <w:sz w:val="32"/>
          <w:szCs w:val="32"/>
          <w:lang w:val="en-US"/>
        </w:rPr>
      </w:pPr>
    </w:p>
    <w:p w14:paraId="5DF7F02D" w14:textId="5172C247" w:rsidR="00EB0D7C" w:rsidRDefault="00EB0D7C" w:rsidP="00EB0D7C">
      <w:pPr>
        <w:rPr>
          <w:sz w:val="32"/>
          <w:szCs w:val="32"/>
          <w:lang w:val="en-US"/>
        </w:rPr>
      </w:pPr>
      <w:r w:rsidRPr="00EB0D7C">
        <w:rPr>
          <w:sz w:val="32"/>
          <w:szCs w:val="32"/>
          <w:lang w:val="en-US"/>
        </w:rPr>
        <w:t>A single reading of 182/112 mmHg falls in the severely elevated range, so hypertension cannot be diagnosed on one visit alone. However, given the severity (Grade 2/3) plus his high-risk comorbidities (diabetes, CAD), a 3-week lifestyle-modification interval (D) is unsafe, and waiting 24 hours (B) delays care unnecessarily. A same-day repeat measurement within hours (C) confirms severely elevated BP promptly, allowing timely intervention while still following proper confirmation protocol before formal diagnosis (A).</w:t>
      </w:r>
    </w:p>
    <w:p w14:paraId="581D0435" w14:textId="08D1DAFA" w:rsidR="00EB0D7C" w:rsidRDefault="00EB0D7C" w:rsidP="003D4B21">
      <w:pPr>
        <w:rPr>
          <w:sz w:val="32"/>
          <w:szCs w:val="32"/>
          <w:lang w:val="en-US"/>
        </w:rPr>
      </w:pPr>
      <w:r>
        <w:rPr>
          <w:sz w:val="32"/>
          <w:szCs w:val="32"/>
          <w:lang w:val="en-US"/>
        </w:rPr>
        <w:t xml:space="preserve">18. </w:t>
      </w:r>
      <w:r w:rsidR="003D4B21" w:rsidRPr="003D4B21">
        <w:rPr>
          <w:sz w:val="32"/>
          <w:szCs w:val="32"/>
          <w:lang w:val="en-US"/>
        </w:rPr>
        <w:t>A – Add chlorthalidone and intensify lifestyle modification</w:t>
      </w:r>
      <w:r w:rsidR="003D4B21">
        <w:rPr>
          <w:sz w:val="32"/>
          <w:szCs w:val="32"/>
          <w:lang w:val="en-US"/>
        </w:rPr>
        <w:t xml:space="preserve">.  </w:t>
      </w:r>
      <w:r w:rsidR="003D4B21" w:rsidRPr="003D4B21">
        <w:rPr>
          <w:sz w:val="32"/>
          <w:szCs w:val="32"/>
          <w:lang w:val="en-US"/>
        </w:rPr>
        <w:t>He's already on maximal doses of an ACE inhibitor (enalapril 20mg) and CCB (amlodipine 10mg), yet BP remains above goal (&lt;130/80 for diabetic with albuminuria, UACR 125mg/g). Potassium (5.0) isn't high enough to preclude a diuretic. Adding a third agent—chlorthalidone (thiazide-like, effective even with reduced eGFR)—plus continued lifestyle measures is the guideline-recommended next step for resistant hypertension in diabetic kidney disease.</w:t>
      </w:r>
    </w:p>
    <w:p w14:paraId="6F0743FF" w14:textId="6D5357E5" w:rsidR="003D4B21" w:rsidRDefault="003D4B21" w:rsidP="003D4B21">
      <w:pPr>
        <w:rPr>
          <w:sz w:val="32"/>
          <w:szCs w:val="32"/>
          <w:lang w:val="en-US"/>
        </w:rPr>
      </w:pPr>
      <w:r>
        <w:rPr>
          <w:sz w:val="32"/>
          <w:szCs w:val="32"/>
          <w:lang w:val="en-US"/>
        </w:rPr>
        <w:t xml:space="preserve">19. A. </w:t>
      </w:r>
      <w:r w:rsidRPr="003D4B21">
        <w:rPr>
          <w:sz w:val="32"/>
          <w:szCs w:val="32"/>
          <w:lang w:val="en-US"/>
        </w:rPr>
        <w:t>Monitor UACR</w:t>
      </w:r>
      <w:r>
        <w:rPr>
          <w:sz w:val="32"/>
          <w:szCs w:val="32"/>
          <w:lang w:val="en-US"/>
        </w:rPr>
        <w:t>.</w:t>
      </w:r>
      <w:r w:rsidR="00A4572F">
        <w:rPr>
          <w:sz w:val="32"/>
          <w:szCs w:val="32"/>
          <w:lang w:val="en-US"/>
        </w:rPr>
        <w:t xml:space="preserve"> </w:t>
      </w:r>
      <w:r w:rsidRPr="003D4B21">
        <w:rPr>
          <w:sz w:val="32"/>
          <w:szCs w:val="32"/>
          <w:lang w:val="en-US"/>
        </w:rPr>
        <w:t>A rise in serum creatinine up to 30% after starting an ACE inhibitor (like enalapril) is an expected, acceptable hemodynamic effect due to efferent arteriolar dilation, not a sign of toxicity. Here, creatinine rose from 1.0 to 1.25 mg/dL (~25% increase), within this safe limit. Enalapril should be continued, with monitoring of renal function and urinary albumin-creatinine ratio (UACR) to assess nephroprotective benefit, since ACE inhibitors reduce proteinuria and slow diabetic nephropathy progression.</w:t>
      </w:r>
    </w:p>
    <w:p w14:paraId="0D679133" w14:textId="315FE68E" w:rsidR="003D4B21" w:rsidRDefault="003D4B21" w:rsidP="003D4B21">
      <w:pPr>
        <w:rPr>
          <w:sz w:val="32"/>
          <w:szCs w:val="32"/>
          <w:lang w:val="en-US"/>
        </w:rPr>
      </w:pPr>
      <w:r>
        <w:rPr>
          <w:sz w:val="32"/>
          <w:szCs w:val="32"/>
          <w:lang w:val="en-US"/>
        </w:rPr>
        <w:t xml:space="preserve">20. </w:t>
      </w:r>
      <w:r w:rsidRPr="003D4B21">
        <w:rPr>
          <w:sz w:val="32"/>
          <w:szCs w:val="32"/>
          <w:lang w:val="en-US"/>
        </w:rPr>
        <w:t>False.</w:t>
      </w:r>
      <w:r w:rsidR="00A4572F">
        <w:rPr>
          <w:sz w:val="32"/>
          <w:szCs w:val="32"/>
          <w:lang w:val="en-US"/>
        </w:rPr>
        <w:t xml:space="preserve"> </w:t>
      </w:r>
      <w:r w:rsidRPr="003D4B21">
        <w:rPr>
          <w:sz w:val="32"/>
          <w:szCs w:val="32"/>
          <w:lang w:val="en-US"/>
        </w:rPr>
        <w:t xml:space="preserve">Resistant hypertension is defined as blood pressure above goal despite adherence to appropriate lifestyle measures plus three antihypertensive agents of different classes at maximally tolerated doses, and critically, one of these three must be a diuretic. Atenolol (beta-blocker), lisinopril (ACE inhibitor), and amlodipine (calcium </w:t>
      </w:r>
      <w:r w:rsidRPr="003D4B21">
        <w:rPr>
          <w:sz w:val="32"/>
          <w:szCs w:val="32"/>
          <w:lang w:val="en-US"/>
        </w:rPr>
        <w:lastRenderedPageBreak/>
        <w:t>channel blocker) do not include a diuretic, so this combination does not meet the standard definition — even if BP remains uncontrolled.</w:t>
      </w:r>
    </w:p>
    <w:p w14:paraId="3F1DA052" w14:textId="284F0512" w:rsidR="003D4B21" w:rsidRDefault="003D4B21" w:rsidP="003D4B21">
      <w:pPr>
        <w:rPr>
          <w:sz w:val="32"/>
          <w:szCs w:val="32"/>
          <w:lang w:val="en-US"/>
        </w:rPr>
      </w:pPr>
      <w:r>
        <w:rPr>
          <w:sz w:val="32"/>
          <w:szCs w:val="32"/>
          <w:lang w:val="en-US"/>
        </w:rPr>
        <w:t xml:space="preserve">21. </w:t>
      </w:r>
      <w:r w:rsidRPr="003D4B21">
        <w:rPr>
          <w:sz w:val="32"/>
          <w:szCs w:val="32"/>
          <w:lang w:val="en-US"/>
        </w:rPr>
        <w:t>B. Start enalapril</w:t>
      </w:r>
      <w:r>
        <w:rPr>
          <w:sz w:val="32"/>
          <w:szCs w:val="32"/>
          <w:lang w:val="en-US"/>
        </w:rPr>
        <w:t xml:space="preserve">. </w:t>
      </w:r>
      <w:r w:rsidRPr="003D4B21">
        <w:rPr>
          <w:sz w:val="32"/>
          <w:szCs w:val="32"/>
          <w:lang w:val="en-US"/>
        </w:rPr>
        <w:t>In diabetic patients, ACE inhibitors (like enalapril) are the preferred first-line agent because they lower BP while also providing renoprotection — reducing intraglomerular pressure and slowing diabetic nephropathy progression (via reduced proteinuria). Monotherapy is appropriate at this BP level (152/92, Stage 2 hypertension but not requiring combination therapy per most guidelines unless BP is significantly higher, e.g., &gt;160/100). Combination therapy or diuretics/beta-blockers are not first-line here.</w:t>
      </w:r>
    </w:p>
    <w:p w14:paraId="739EC26E" w14:textId="589BCC4D" w:rsidR="003D4B21" w:rsidRDefault="003D4B21" w:rsidP="003D4B21">
      <w:pPr>
        <w:rPr>
          <w:sz w:val="32"/>
          <w:szCs w:val="32"/>
          <w:lang w:val="en-US"/>
        </w:rPr>
      </w:pPr>
      <w:r>
        <w:rPr>
          <w:sz w:val="32"/>
          <w:szCs w:val="32"/>
          <w:lang w:val="en-US"/>
        </w:rPr>
        <w:t xml:space="preserve">22. </w:t>
      </w:r>
      <w:r w:rsidRPr="003D4B21">
        <w:rPr>
          <w:sz w:val="32"/>
          <w:szCs w:val="32"/>
          <w:lang w:val="en-US"/>
        </w:rPr>
        <w:t>True.</w:t>
      </w:r>
      <w:r>
        <w:rPr>
          <w:sz w:val="32"/>
          <w:szCs w:val="32"/>
          <w:lang w:val="en-US"/>
        </w:rPr>
        <w:t xml:space="preserve"> </w:t>
      </w:r>
      <w:r w:rsidRPr="003D4B21">
        <w:rPr>
          <w:sz w:val="32"/>
          <w:szCs w:val="32"/>
          <w:lang w:val="en-US"/>
        </w:rPr>
        <w:t>Lipid-lowering therapy (e.g., statins) is generally discontinued before conception due to potential fetal risk, especially teratogenicity in early pregnancy. However, in select high-risk cases—such as homozygous familial hypercholesterolemia or very high atherosclerotic cardiovascular disease risk—the benefit of continued therapy may outweigh potential fetal risk, and treatment may be continued under specialist guidance with shared decision-making before conception.</w:t>
      </w:r>
    </w:p>
    <w:p w14:paraId="5D55C3FC" w14:textId="488239C8" w:rsidR="003D4B21" w:rsidRDefault="003D4B21" w:rsidP="003D4B21">
      <w:pPr>
        <w:rPr>
          <w:sz w:val="32"/>
          <w:szCs w:val="32"/>
          <w:lang w:val="en-US"/>
        </w:rPr>
      </w:pPr>
      <w:r>
        <w:rPr>
          <w:sz w:val="32"/>
          <w:szCs w:val="32"/>
          <w:lang w:val="en-US"/>
        </w:rPr>
        <w:t xml:space="preserve">23. </w:t>
      </w:r>
      <w:r w:rsidRPr="003D4B21">
        <w:rPr>
          <w:sz w:val="32"/>
          <w:szCs w:val="32"/>
          <w:lang w:val="en-US"/>
        </w:rPr>
        <w:t>False.</w:t>
      </w:r>
      <w:r>
        <w:rPr>
          <w:sz w:val="32"/>
          <w:szCs w:val="32"/>
          <w:lang w:val="en-US"/>
        </w:rPr>
        <w:t xml:space="preserve"> </w:t>
      </w:r>
      <w:r w:rsidRPr="003D4B21">
        <w:rPr>
          <w:sz w:val="32"/>
          <w:szCs w:val="32"/>
          <w:lang w:val="en-US"/>
        </w:rPr>
        <w:t>Adding a fibrate to statin therapy in type 2 diabetics does not reduce cardiovascular events in the general population, as shown in the ACCORD Lipid trial. A possible exception is the subgroup with atherogenic dyslipidemia (high triglycerides ≥204 mg/dL and low HDL ≤34 mg/dL), where fenofibrate showed a trend toward benefit. Routine addition also raises risks — myopathy (especially with gemfibrozil) and, with fenofibrate, reversible creatinine elevation.</w:t>
      </w:r>
    </w:p>
    <w:p w14:paraId="6FE5B105" w14:textId="09F3A427" w:rsidR="003D4B21" w:rsidRDefault="003D4B21" w:rsidP="00933326">
      <w:pPr>
        <w:rPr>
          <w:sz w:val="32"/>
          <w:szCs w:val="32"/>
          <w:lang w:val="en-US"/>
        </w:rPr>
      </w:pPr>
      <w:r>
        <w:rPr>
          <w:sz w:val="32"/>
          <w:szCs w:val="32"/>
          <w:lang w:val="en-US"/>
        </w:rPr>
        <w:t xml:space="preserve">24. </w:t>
      </w:r>
      <w:r w:rsidR="00933326" w:rsidRPr="00933326">
        <w:rPr>
          <w:sz w:val="32"/>
          <w:szCs w:val="32"/>
          <w:lang w:val="en-US"/>
        </w:rPr>
        <w:t>False.</w:t>
      </w:r>
      <w:r w:rsidR="00933326">
        <w:rPr>
          <w:sz w:val="32"/>
          <w:szCs w:val="32"/>
          <w:lang w:val="en-US"/>
        </w:rPr>
        <w:t xml:space="preserve"> </w:t>
      </w:r>
      <w:r w:rsidR="00933326" w:rsidRPr="00933326">
        <w:rPr>
          <w:sz w:val="32"/>
          <w:szCs w:val="32"/>
          <w:lang w:val="en-US"/>
        </w:rPr>
        <w:t xml:space="preserve">Current guidelines (2019 ACC/AHA, USPSTF) no longer recommend routine aspirin for primary prevention of ASCVD, even in diabetics with additional risk factors like hypertension. Bleeding risk generally offsets modest cardiovascular benefit. Aspirin may be considered selectively in select high-risk 40–59-year-olds with low </w:t>
      </w:r>
      <w:r w:rsidR="00933326" w:rsidRPr="00933326">
        <w:rPr>
          <w:sz w:val="32"/>
          <w:szCs w:val="32"/>
          <w:lang w:val="en-US"/>
        </w:rPr>
        <w:lastRenderedPageBreak/>
        <w:t>bleeding risk after shared decision-making, but it is not a default/routine recommendation — emphasis remains on statins, BP control, and lifestyle modification.</w:t>
      </w:r>
    </w:p>
    <w:p w14:paraId="3FB299CB" w14:textId="2F25248F" w:rsidR="00933326" w:rsidRDefault="00933326" w:rsidP="00933326">
      <w:pPr>
        <w:rPr>
          <w:sz w:val="32"/>
          <w:szCs w:val="32"/>
          <w:lang w:val="en-US"/>
        </w:rPr>
      </w:pPr>
      <w:r>
        <w:rPr>
          <w:sz w:val="32"/>
          <w:szCs w:val="32"/>
          <w:lang w:val="en-US"/>
        </w:rPr>
        <w:t xml:space="preserve">25. </w:t>
      </w:r>
      <w:r w:rsidRPr="00933326">
        <w:rPr>
          <w:sz w:val="32"/>
          <w:szCs w:val="32"/>
          <w:lang w:val="en-US"/>
        </w:rPr>
        <w:t>False.</w:t>
      </w:r>
      <w:r>
        <w:rPr>
          <w:sz w:val="32"/>
          <w:szCs w:val="32"/>
          <w:lang w:val="en-US"/>
        </w:rPr>
        <w:t xml:space="preserve"> </w:t>
      </w:r>
      <w:r w:rsidRPr="00933326">
        <w:rPr>
          <w:sz w:val="32"/>
          <w:szCs w:val="32"/>
          <w:lang w:val="en-US"/>
        </w:rPr>
        <w:t>Routine ASCVD screening (e.g., stress testing, coronary calcium scoring) is not recommended in asymptomatic diabetic patients, as it hasn't been shown to improve outcomes and may lead to unnecessary invasive procedures. Instead, guidelines (ADA/ACC) recommend aggressive risk-factor modification — statins, BP control, glycemic control, lifestyle changes, and using risk calculators — rather than direct screening tests, regardless of the elevated ASCVD risk diabetes confers.</w:t>
      </w:r>
    </w:p>
    <w:p w14:paraId="57BB3381" w14:textId="4BEF3CE2" w:rsidR="00933326" w:rsidRDefault="00933326" w:rsidP="00933326">
      <w:pPr>
        <w:rPr>
          <w:sz w:val="32"/>
          <w:szCs w:val="32"/>
          <w:lang w:val="en-US"/>
        </w:rPr>
      </w:pPr>
      <w:r>
        <w:rPr>
          <w:sz w:val="32"/>
          <w:szCs w:val="32"/>
          <w:lang w:val="en-US"/>
        </w:rPr>
        <w:t xml:space="preserve">26. </w:t>
      </w:r>
      <w:r w:rsidRPr="00933326">
        <w:rPr>
          <w:sz w:val="32"/>
          <w:szCs w:val="32"/>
          <w:lang w:val="en-US"/>
        </w:rPr>
        <w:t>B – Add rosuvastatin and dapagliflozin</w:t>
      </w:r>
      <w:r>
        <w:rPr>
          <w:sz w:val="32"/>
          <w:szCs w:val="32"/>
          <w:lang w:val="en-US"/>
        </w:rPr>
        <w:t xml:space="preserve">. </w:t>
      </w:r>
      <w:r w:rsidRPr="00933326">
        <w:rPr>
          <w:sz w:val="32"/>
          <w:szCs w:val="32"/>
          <w:lang w:val="en-US"/>
        </w:rPr>
        <w:t>This patient has established ASCVD (prior MI) plus type 2 diabetes — both indications independently mandate high-intensity statin therapy for secondary prevention, regardless of baseline LDL. Dapagliflozin (SGLT2 inhibitor) is recommended in T2DM with cardiovascular disease for proven cardiovascular and renal benefit. Semaglutide isn't necessary as an immediate addition. Gallstones are asymptomatic and need no intervention now.</w:t>
      </w:r>
    </w:p>
    <w:p w14:paraId="6B561327" w14:textId="6B44D84F" w:rsidR="00933326" w:rsidRDefault="00933326" w:rsidP="00933326">
      <w:pPr>
        <w:rPr>
          <w:sz w:val="32"/>
          <w:szCs w:val="32"/>
          <w:lang w:val="en-US"/>
        </w:rPr>
      </w:pPr>
      <w:r>
        <w:rPr>
          <w:sz w:val="32"/>
          <w:szCs w:val="32"/>
          <w:lang w:val="en-US"/>
        </w:rPr>
        <w:t xml:space="preserve">27. </w:t>
      </w:r>
      <w:r w:rsidRPr="00933326">
        <w:rPr>
          <w:sz w:val="32"/>
          <w:szCs w:val="32"/>
          <w:lang w:val="en-US"/>
        </w:rPr>
        <w:t>True.</w:t>
      </w:r>
      <w:r>
        <w:rPr>
          <w:sz w:val="32"/>
          <w:szCs w:val="32"/>
          <w:lang w:val="en-US"/>
        </w:rPr>
        <w:t xml:space="preserve"> </w:t>
      </w:r>
      <w:r w:rsidRPr="00933326">
        <w:rPr>
          <w:sz w:val="32"/>
          <w:szCs w:val="32"/>
          <w:lang w:val="en-US"/>
        </w:rPr>
        <w:t>In type 2 diabetes, chronic kidney disease (CKD) can develop without accompanying diabetic retinopathy, unlike in type 1 diabetes where nephropathy is almost always preceded by retinopathy. This is because CKD in type 2 diabetics is often multifactorial — driven by hypertension, atherosclerosis, aging, and other non-diabetic kidney diseases, not purely microvascular damage from hyperglycemia. So renal impairment can occur independently of retinal changes.</w:t>
      </w:r>
    </w:p>
    <w:p w14:paraId="499F7B19" w14:textId="355EA3F1" w:rsidR="00933326" w:rsidRPr="00933326" w:rsidRDefault="00933326" w:rsidP="00933326">
      <w:pPr>
        <w:rPr>
          <w:sz w:val="32"/>
          <w:szCs w:val="32"/>
          <w:lang w:val="en-US"/>
        </w:rPr>
      </w:pPr>
      <w:r>
        <w:rPr>
          <w:sz w:val="32"/>
          <w:szCs w:val="32"/>
          <w:lang w:val="en-US"/>
        </w:rPr>
        <w:t xml:space="preserve">28. False. </w:t>
      </w:r>
      <w:r w:rsidRPr="00933326">
        <w:rPr>
          <w:sz w:val="32"/>
          <w:szCs w:val="32"/>
          <w:lang w:val="en-US"/>
        </w:rPr>
        <w:t>In type 2 diabetes, annual screening for kidney disease (UACR and eGFR) should begin at the time of diagnosis, not after a 5-year delay — because the actual onset of T2DM often predates diagnosis by years, kidney damage may already be present.</w:t>
      </w:r>
    </w:p>
    <w:p w14:paraId="064247DA" w14:textId="77777777" w:rsidR="00933326" w:rsidRPr="00933326" w:rsidRDefault="00933326" w:rsidP="00933326">
      <w:pPr>
        <w:rPr>
          <w:sz w:val="32"/>
          <w:szCs w:val="32"/>
          <w:lang w:val="en-US"/>
        </w:rPr>
      </w:pPr>
    </w:p>
    <w:p w14:paraId="5581FCA1" w14:textId="37CB1A89" w:rsidR="00933326" w:rsidRDefault="00933326" w:rsidP="00933326">
      <w:pPr>
        <w:rPr>
          <w:sz w:val="32"/>
          <w:szCs w:val="32"/>
          <w:lang w:val="en-US"/>
        </w:rPr>
      </w:pPr>
      <w:r w:rsidRPr="00933326">
        <w:rPr>
          <w:sz w:val="32"/>
          <w:szCs w:val="32"/>
          <w:lang w:val="en-US"/>
        </w:rPr>
        <w:t>The "5 years after diagnosis" rule applies to type 1 diabetes, where onset is more clearly defined and nephropathy typically takes longer to develop.</w:t>
      </w:r>
    </w:p>
    <w:p w14:paraId="1FA54D00" w14:textId="111F7DB8" w:rsidR="00933326" w:rsidRDefault="00933326" w:rsidP="00933326">
      <w:pPr>
        <w:rPr>
          <w:sz w:val="32"/>
          <w:szCs w:val="32"/>
          <w:lang w:val="en-US"/>
        </w:rPr>
      </w:pPr>
      <w:r>
        <w:rPr>
          <w:sz w:val="32"/>
          <w:szCs w:val="32"/>
          <w:lang w:val="en-US"/>
        </w:rPr>
        <w:t xml:space="preserve">29. </w:t>
      </w:r>
      <w:r w:rsidRPr="00933326">
        <w:rPr>
          <w:sz w:val="32"/>
          <w:szCs w:val="32"/>
          <w:lang w:val="en-US"/>
        </w:rPr>
        <w:t>HbA1c &lt;7.0–7.5%</w:t>
      </w:r>
      <w:r>
        <w:rPr>
          <w:sz w:val="32"/>
          <w:szCs w:val="32"/>
          <w:lang w:val="en-US"/>
        </w:rPr>
        <w:t xml:space="preserve">. </w:t>
      </w:r>
      <w:r w:rsidRPr="00933326">
        <w:rPr>
          <w:sz w:val="32"/>
          <w:szCs w:val="32"/>
          <w:lang w:val="en-US"/>
        </w:rPr>
        <w:t>Given his good functional and cognitive status (a "healthy" older adult), a moderately stringent target is appropriate. The presence of early nephropathy (UACR ~50 mg/g, moderately increased albuminuria) favors tighter control to slow microvascular progression, while avoiding &lt;6.5% to minimize hypoglycemia risk. CGM use supports safe tightening from current 7.8% toward this target with minimal hypoglycemia burden.</w:t>
      </w:r>
    </w:p>
    <w:p w14:paraId="65EFFC2B" w14:textId="536F19F6" w:rsidR="00933326" w:rsidRDefault="00933326" w:rsidP="00933326">
      <w:pPr>
        <w:rPr>
          <w:sz w:val="32"/>
          <w:szCs w:val="32"/>
          <w:lang w:val="en-US"/>
        </w:rPr>
      </w:pPr>
      <w:r>
        <w:rPr>
          <w:sz w:val="32"/>
          <w:szCs w:val="32"/>
          <w:lang w:val="en-US"/>
        </w:rPr>
        <w:t xml:space="preserve">30. </w:t>
      </w:r>
      <w:r w:rsidRPr="00933326">
        <w:rPr>
          <w:sz w:val="32"/>
          <w:szCs w:val="32"/>
          <w:lang w:val="en-US"/>
        </w:rPr>
        <w:t>True.</w:t>
      </w:r>
      <w:r>
        <w:rPr>
          <w:sz w:val="32"/>
          <w:szCs w:val="32"/>
          <w:lang w:val="en-US"/>
        </w:rPr>
        <w:t xml:space="preserve"> </w:t>
      </w:r>
      <w:r w:rsidRPr="00933326">
        <w:rPr>
          <w:sz w:val="32"/>
          <w:szCs w:val="32"/>
          <w:lang w:val="en-US"/>
        </w:rPr>
        <w:t>At end of life, the goal shifts from tight glycemic control to comfort and symptom relief. Hypoglycemia risk, pill burden, and injections cause more harm than benefit when life expectancy is limited. Most oral agents and insulin can be discontinued, with occasional low-dose basal insulin or agents continued only if needed to prevent symptomatic hyperglycemia (thirst, polyuria, dehydration) or diabetic ketoacidosis risk in type 1 disease.</w:t>
      </w:r>
    </w:p>
    <w:p w14:paraId="7F1EEBF1" w14:textId="657D106C" w:rsidR="00933326" w:rsidRPr="00933326" w:rsidRDefault="00933326" w:rsidP="00933326">
      <w:pPr>
        <w:rPr>
          <w:sz w:val="32"/>
          <w:szCs w:val="32"/>
          <w:lang w:val="en-US"/>
        </w:rPr>
      </w:pPr>
      <w:r>
        <w:rPr>
          <w:sz w:val="32"/>
          <w:szCs w:val="32"/>
          <w:lang w:val="en-US"/>
        </w:rPr>
        <w:t xml:space="preserve">31. </w:t>
      </w:r>
      <w:r w:rsidRPr="00933326">
        <w:rPr>
          <w:sz w:val="32"/>
          <w:szCs w:val="32"/>
          <w:lang w:val="en-US"/>
        </w:rPr>
        <w:t>True.</w:t>
      </w:r>
      <w:r>
        <w:rPr>
          <w:sz w:val="32"/>
          <w:szCs w:val="32"/>
          <w:lang w:val="en-US"/>
        </w:rPr>
        <w:t xml:space="preserve"> </w:t>
      </w:r>
      <w:r w:rsidRPr="00933326">
        <w:rPr>
          <w:sz w:val="32"/>
          <w:szCs w:val="32"/>
          <w:lang w:val="en-US"/>
        </w:rPr>
        <w:t>Long-term diabetes causes microvascular damage and neuropathy affecting sensory nerves and epithelia. This leads to:</w:t>
      </w:r>
    </w:p>
    <w:p w14:paraId="404550B7" w14:textId="77777777" w:rsidR="00933326" w:rsidRPr="00933326" w:rsidRDefault="00933326" w:rsidP="00933326">
      <w:pPr>
        <w:rPr>
          <w:sz w:val="32"/>
          <w:szCs w:val="32"/>
          <w:lang w:val="en-US"/>
        </w:rPr>
      </w:pPr>
      <w:r w:rsidRPr="00933326">
        <w:rPr>
          <w:sz w:val="32"/>
          <w:szCs w:val="32"/>
          <w:lang w:val="en-US"/>
        </w:rPr>
        <w:t>Hearing: Sensorineural hearing loss from cochlear microangiopathy and auditory nerve damage.</w:t>
      </w:r>
    </w:p>
    <w:p w14:paraId="3E3665D5" w14:textId="77777777" w:rsidR="00933326" w:rsidRPr="00933326" w:rsidRDefault="00933326" w:rsidP="00933326">
      <w:pPr>
        <w:rPr>
          <w:sz w:val="32"/>
          <w:szCs w:val="32"/>
          <w:lang w:val="en-US"/>
        </w:rPr>
      </w:pPr>
      <w:r w:rsidRPr="00933326">
        <w:rPr>
          <w:sz w:val="32"/>
          <w:szCs w:val="32"/>
          <w:lang w:val="en-US"/>
        </w:rPr>
        <w:t>Smell: Hyposmia/anosmia due to olfactory neuroepithelium and nerve damage.</w:t>
      </w:r>
    </w:p>
    <w:p w14:paraId="47ED5EB1" w14:textId="77777777" w:rsidR="00933326" w:rsidRPr="00933326" w:rsidRDefault="00933326" w:rsidP="00933326">
      <w:pPr>
        <w:rPr>
          <w:sz w:val="32"/>
          <w:szCs w:val="32"/>
          <w:lang w:val="en-US"/>
        </w:rPr>
      </w:pPr>
      <w:r w:rsidRPr="00933326">
        <w:rPr>
          <w:sz w:val="32"/>
          <w:szCs w:val="32"/>
          <w:lang w:val="en-US"/>
        </w:rPr>
        <w:t>Taste: Dysgeusia from damage to taste buds and cranial nerves (VII, IX), often worsened by chronic hyperglycemia and neuropathy.</w:t>
      </w:r>
    </w:p>
    <w:p w14:paraId="0E9BA0CC" w14:textId="28F7D52D" w:rsidR="00933326" w:rsidRDefault="00933326" w:rsidP="00933326">
      <w:pPr>
        <w:rPr>
          <w:sz w:val="32"/>
          <w:szCs w:val="32"/>
          <w:lang w:val="en-US"/>
        </w:rPr>
      </w:pPr>
      <w:r w:rsidRPr="00933326">
        <w:rPr>
          <w:sz w:val="32"/>
          <w:szCs w:val="32"/>
          <w:lang w:val="en-US"/>
        </w:rPr>
        <w:t>These sensory impairments result from cumulative effects of chronic hyperglycemia on nerves and blood vessels.</w:t>
      </w:r>
    </w:p>
    <w:p w14:paraId="7E5C7D0B" w14:textId="2BACD6BB" w:rsidR="00933326" w:rsidRPr="00933326" w:rsidRDefault="00933326" w:rsidP="00933326">
      <w:pPr>
        <w:rPr>
          <w:sz w:val="32"/>
          <w:szCs w:val="32"/>
          <w:lang w:val="en-US"/>
        </w:rPr>
      </w:pPr>
      <w:r>
        <w:rPr>
          <w:sz w:val="32"/>
          <w:szCs w:val="32"/>
          <w:lang w:val="en-US"/>
        </w:rPr>
        <w:lastRenderedPageBreak/>
        <w:t xml:space="preserve">32. </w:t>
      </w:r>
      <w:r w:rsidRPr="00933326">
        <w:rPr>
          <w:sz w:val="32"/>
          <w:szCs w:val="32"/>
          <w:lang w:val="en-US"/>
        </w:rPr>
        <w:t>False.</w:t>
      </w:r>
      <w:r>
        <w:rPr>
          <w:sz w:val="32"/>
          <w:szCs w:val="32"/>
          <w:lang w:val="en-US"/>
        </w:rPr>
        <w:t xml:space="preserve"> </w:t>
      </w:r>
      <w:r w:rsidRPr="00933326">
        <w:rPr>
          <w:sz w:val="32"/>
          <w:szCs w:val="32"/>
          <w:lang w:val="en-US"/>
        </w:rPr>
        <w:t>RAS inhibitors (ACE inhibitors/ARBs) are recommended for secondary prevention of CKD in type 2 diabetes — i.e., in patients who already have albuminuria, hypertension, or established diabetic kidney disease, where they reduce proteinuria and slow progression.</w:t>
      </w:r>
    </w:p>
    <w:p w14:paraId="3901B36B" w14:textId="601CB03D" w:rsidR="00933326" w:rsidRPr="00F62DD3" w:rsidRDefault="00933326" w:rsidP="00933326">
      <w:pPr>
        <w:rPr>
          <w:sz w:val="32"/>
          <w:szCs w:val="32"/>
          <w:lang w:val="en-US"/>
        </w:rPr>
      </w:pPr>
      <w:r w:rsidRPr="00933326">
        <w:rPr>
          <w:sz w:val="32"/>
          <w:szCs w:val="32"/>
          <w:lang w:val="en-US"/>
        </w:rPr>
        <w:t>However, they are not recommended for primary prevention in normotensive, normoalbuminuric diabetics, as trials show no significant benefit in preventing onset of nephropathy in this group, while exposing patients to unnecessary side effects (hyperkalemia, hypotension, renal function decline).</w:t>
      </w:r>
    </w:p>
    <w:sectPr w:rsidR="00933326" w:rsidRPr="00F62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DD3"/>
    <w:rsid w:val="000B7A88"/>
    <w:rsid w:val="003D4B21"/>
    <w:rsid w:val="0049567F"/>
    <w:rsid w:val="006E0FBC"/>
    <w:rsid w:val="00740937"/>
    <w:rsid w:val="007A38CF"/>
    <w:rsid w:val="00933326"/>
    <w:rsid w:val="00A4572F"/>
    <w:rsid w:val="00AB4AB6"/>
    <w:rsid w:val="00AC4361"/>
    <w:rsid w:val="00B96B49"/>
    <w:rsid w:val="00C90F9A"/>
    <w:rsid w:val="00EB0D7C"/>
    <w:rsid w:val="00F62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FFD7"/>
  <w15:chartTrackingRefBased/>
  <w15:docId w15:val="{5429E562-BB53-4C25-B02F-45CE4142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D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D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D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D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D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D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D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D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D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D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DD3"/>
    <w:rPr>
      <w:rFonts w:eastAsiaTheme="majorEastAsia" w:cstheme="majorBidi"/>
      <w:color w:val="272727" w:themeColor="text1" w:themeTint="D8"/>
    </w:rPr>
  </w:style>
  <w:style w:type="paragraph" w:styleId="Title">
    <w:name w:val="Title"/>
    <w:basedOn w:val="Normal"/>
    <w:next w:val="Normal"/>
    <w:link w:val="TitleChar"/>
    <w:uiPriority w:val="10"/>
    <w:qFormat/>
    <w:rsid w:val="00F62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DD3"/>
    <w:pPr>
      <w:spacing w:before="160"/>
      <w:jc w:val="center"/>
    </w:pPr>
    <w:rPr>
      <w:i/>
      <w:iCs/>
      <w:color w:val="404040" w:themeColor="text1" w:themeTint="BF"/>
    </w:rPr>
  </w:style>
  <w:style w:type="character" w:customStyle="1" w:styleId="QuoteChar">
    <w:name w:val="Quote Char"/>
    <w:basedOn w:val="DefaultParagraphFont"/>
    <w:link w:val="Quote"/>
    <w:uiPriority w:val="29"/>
    <w:rsid w:val="00F62DD3"/>
    <w:rPr>
      <w:i/>
      <w:iCs/>
      <w:color w:val="404040" w:themeColor="text1" w:themeTint="BF"/>
    </w:rPr>
  </w:style>
  <w:style w:type="paragraph" w:styleId="ListParagraph">
    <w:name w:val="List Paragraph"/>
    <w:basedOn w:val="Normal"/>
    <w:uiPriority w:val="34"/>
    <w:qFormat/>
    <w:rsid w:val="00F62DD3"/>
    <w:pPr>
      <w:ind w:left="720"/>
      <w:contextualSpacing/>
    </w:pPr>
  </w:style>
  <w:style w:type="character" w:styleId="IntenseEmphasis">
    <w:name w:val="Intense Emphasis"/>
    <w:basedOn w:val="DefaultParagraphFont"/>
    <w:uiPriority w:val="21"/>
    <w:qFormat/>
    <w:rsid w:val="00F62DD3"/>
    <w:rPr>
      <w:i/>
      <w:iCs/>
      <w:color w:val="2F5496" w:themeColor="accent1" w:themeShade="BF"/>
    </w:rPr>
  </w:style>
  <w:style w:type="paragraph" w:styleId="IntenseQuote">
    <w:name w:val="Intense Quote"/>
    <w:basedOn w:val="Normal"/>
    <w:next w:val="Normal"/>
    <w:link w:val="IntenseQuoteChar"/>
    <w:uiPriority w:val="30"/>
    <w:qFormat/>
    <w:rsid w:val="00F62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DD3"/>
    <w:rPr>
      <w:i/>
      <w:iCs/>
      <w:color w:val="2F5496" w:themeColor="accent1" w:themeShade="BF"/>
    </w:rPr>
  </w:style>
  <w:style w:type="character" w:styleId="IntenseReference">
    <w:name w:val="Intense Reference"/>
    <w:basedOn w:val="DefaultParagraphFont"/>
    <w:uiPriority w:val="32"/>
    <w:qFormat/>
    <w:rsid w:val="00F62D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2314</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 Tiwari</dc:creator>
  <cp:keywords/>
  <dc:description/>
  <cp:lastModifiedBy>Dhananjay Tiwari</cp:lastModifiedBy>
  <cp:revision>2</cp:revision>
  <dcterms:created xsi:type="dcterms:W3CDTF">2026-08-09T11:56:00Z</dcterms:created>
  <dcterms:modified xsi:type="dcterms:W3CDTF">2026-08-09T15:22:00Z</dcterms:modified>
</cp:coreProperties>
</file>