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5FBF3" w14:textId="7BBC5AAC" w:rsidR="00AC4361" w:rsidRDefault="001F2A7C">
      <w:pPr>
        <w:rPr>
          <w:sz w:val="36"/>
          <w:szCs w:val="36"/>
          <w:lang w:val="en-US"/>
        </w:rPr>
      </w:pPr>
      <w:r>
        <w:rPr>
          <w:sz w:val="36"/>
          <w:szCs w:val="36"/>
          <w:lang w:val="en-US"/>
        </w:rPr>
        <w:t xml:space="preserve">                                 Gemini LLM Answers</w:t>
      </w:r>
    </w:p>
    <w:p w14:paraId="1557854A" w14:textId="4D6B102A" w:rsidR="001F2A7C" w:rsidRPr="0018404B" w:rsidRDefault="0018404B" w:rsidP="0018404B">
      <w:pPr>
        <w:pStyle w:val="ListParagraph"/>
        <w:numPr>
          <w:ilvl w:val="0"/>
          <w:numId w:val="1"/>
        </w:numPr>
        <w:rPr>
          <w:sz w:val="36"/>
          <w:szCs w:val="36"/>
          <w:lang w:val="en-US"/>
        </w:rPr>
      </w:pPr>
      <w:r w:rsidRPr="0018404B">
        <w:rPr>
          <w:sz w:val="36"/>
          <w:szCs w:val="36"/>
          <w:lang w:val="en-US"/>
        </w:rPr>
        <w:t>Diabetes Mellitus.</w:t>
      </w:r>
      <w:r w:rsidRPr="0018404B">
        <w:rPr>
          <w:sz w:val="36"/>
          <w:szCs w:val="36"/>
          <w:lang w:val="en-US"/>
        </w:rPr>
        <w:t xml:space="preserve"> </w:t>
      </w:r>
      <w:r w:rsidRPr="0018404B">
        <w:rPr>
          <w:sz w:val="36"/>
          <w:szCs w:val="36"/>
          <w:lang w:val="en-US"/>
        </w:rPr>
        <w:t>A random plasma glucose $\ge 200\text{ mg/dL}$ ($250\text{ mg/dL}$) confirms diabetes mellitus according to ADA guidelines.Although his fasting plasma glucose ($109\text{ mg/dL}$) and 2-hour OGTT ($116\text{ mg/dL}$) are non-diagnostic, and HbA1c ($7.5\%$) appears elevated, HbA1c is unreliable in patients on hemodialysis. Altered red blood cell lifespan, carbamylated hemoglobin from uremia, or iron deficiency in end-stage renal disease cause false HbA1c variations, making blood glucose criteria necessary for accurate diagnosis.</w:t>
      </w:r>
    </w:p>
    <w:p w14:paraId="1B9565B2" w14:textId="4F1B263F" w:rsidR="0018404B" w:rsidRDefault="0018404B" w:rsidP="0018404B">
      <w:pPr>
        <w:pStyle w:val="ListParagraph"/>
        <w:numPr>
          <w:ilvl w:val="0"/>
          <w:numId w:val="1"/>
        </w:numPr>
        <w:rPr>
          <w:sz w:val="36"/>
          <w:szCs w:val="36"/>
          <w:lang w:val="en-US"/>
        </w:rPr>
      </w:pPr>
      <w:r w:rsidRPr="0018404B">
        <w:rPr>
          <w:sz w:val="36"/>
          <w:szCs w:val="36"/>
          <w:lang w:val="en-US"/>
        </w:rPr>
        <w:t>Insulin: 25.5 µIU/mL is the most unlikely test result.Type 2 diabetes mellitus involves progressive $\beta$-cell failure over time. After 15 years of disease duration, endogenous insulin secretion typically drops significantly due to $\beta$-cell exhaustion, resulting in low or depleted insulin levels.</w:t>
      </w:r>
      <w:r>
        <w:rPr>
          <w:sz w:val="36"/>
          <w:szCs w:val="36"/>
          <w:lang w:val="en-US"/>
        </w:rPr>
        <w:t xml:space="preserve"> </w:t>
      </w:r>
      <w:r w:rsidRPr="0018404B">
        <w:rPr>
          <w:sz w:val="36"/>
          <w:szCs w:val="36"/>
          <w:lang w:val="en-US"/>
        </w:rPr>
        <w:t>An elevated fasting insulin level (25.5 µIU/mL) indicates hyperinsulinemia, which is characteristic of early-stage insulin resistance or prediabetes rather than long-standing, late-stage diabetes.</w:t>
      </w:r>
    </w:p>
    <w:p w14:paraId="521F947C" w14:textId="75DEB4AA" w:rsidR="0018404B" w:rsidRDefault="0018404B" w:rsidP="0018404B">
      <w:pPr>
        <w:pStyle w:val="ListParagraph"/>
        <w:numPr>
          <w:ilvl w:val="0"/>
          <w:numId w:val="1"/>
        </w:numPr>
        <w:rPr>
          <w:sz w:val="36"/>
          <w:szCs w:val="36"/>
          <w:lang w:val="en-US"/>
        </w:rPr>
      </w:pPr>
      <w:r w:rsidRPr="0018404B">
        <w:rPr>
          <w:sz w:val="36"/>
          <w:szCs w:val="36"/>
          <w:lang w:val="en-US"/>
        </w:rPr>
        <w:t>False.</w:t>
      </w:r>
      <w:r>
        <w:rPr>
          <w:sz w:val="36"/>
          <w:szCs w:val="36"/>
          <w:lang w:val="en-US"/>
        </w:rPr>
        <w:t xml:space="preserve"> </w:t>
      </w:r>
      <w:r w:rsidRPr="0018404B">
        <w:rPr>
          <w:sz w:val="36"/>
          <w:szCs w:val="36"/>
          <w:lang w:val="en-US"/>
        </w:rPr>
        <w:t xml:space="preserve">While the precise optimal interval is not definitively proven by clinical trials, major medical organizations—such as the American Diabetes Association (ADA) and the U.S. Preventive Services Task Force (USPSTF)—recommend a 3-year interval (not 2 years) for screening adults with normal baseline results. More frequent testing (e.g., annually) is generally </w:t>
      </w:r>
      <w:r w:rsidRPr="0018404B">
        <w:rPr>
          <w:sz w:val="36"/>
          <w:szCs w:val="36"/>
          <w:lang w:val="en-US"/>
        </w:rPr>
        <w:lastRenderedPageBreak/>
        <w:t>reserved for high-risk individuals or those identified with prediabetes</w:t>
      </w:r>
      <w:r>
        <w:rPr>
          <w:sz w:val="36"/>
          <w:szCs w:val="36"/>
          <w:lang w:val="en-US"/>
        </w:rPr>
        <w:t>.</w:t>
      </w:r>
    </w:p>
    <w:p w14:paraId="7084FC40" w14:textId="1FE2FA3D" w:rsidR="0018404B" w:rsidRDefault="0018404B" w:rsidP="0018404B">
      <w:pPr>
        <w:pStyle w:val="ListParagraph"/>
        <w:numPr>
          <w:ilvl w:val="0"/>
          <w:numId w:val="1"/>
        </w:numPr>
        <w:rPr>
          <w:sz w:val="36"/>
          <w:szCs w:val="36"/>
          <w:lang w:val="en-US"/>
        </w:rPr>
      </w:pPr>
      <w:r w:rsidRPr="0018404B">
        <w:rPr>
          <w:sz w:val="36"/>
          <w:szCs w:val="36"/>
          <w:lang w:val="en-US"/>
        </w:rPr>
        <w:t>False</w:t>
      </w:r>
      <w:r>
        <w:rPr>
          <w:sz w:val="36"/>
          <w:szCs w:val="36"/>
          <w:lang w:val="en-US"/>
        </w:rPr>
        <w:t xml:space="preserve">. </w:t>
      </w:r>
      <w:r w:rsidRPr="0018404B">
        <w:rPr>
          <w:sz w:val="36"/>
          <w:szCs w:val="36"/>
          <w:lang w:val="en-US"/>
        </w:rPr>
        <w:t>According to clinical guidelines from the American Diabetes Association (ADA) and Cystic Fibrosis Foundation (CFF), annual monitoring for microvascular complications (retinopathy, nephropathy, and neuropathy) should begin 5 years after the diagnosis of Cystic Fibrosis-Related Diabetes (CFRD), not immediately upon diagnosis. Microvascular complications rarely develop sooner because insulin deficiency in CFRD generally progresses gradually over time.</w:t>
      </w:r>
    </w:p>
    <w:p w14:paraId="78BFCD37" w14:textId="61E8CCCF" w:rsidR="0018404B" w:rsidRPr="0018404B" w:rsidRDefault="0018404B" w:rsidP="0018404B">
      <w:pPr>
        <w:pStyle w:val="ListParagraph"/>
        <w:numPr>
          <w:ilvl w:val="0"/>
          <w:numId w:val="1"/>
        </w:numPr>
        <w:rPr>
          <w:sz w:val="36"/>
          <w:szCs w:val="36"/>
          <w:lang w:val="en-US"/>
        </w:rPr>
      </w:pPr>
      <w:r w:rsidRPr="0018404B">
        <w:rPr>
          <w:sz w:val="36"/>
          <w:szCs w:val="36"/>
          <w:lang w:val="en-US"/>
        </w:rPr>
        <w:t>Yes.</w:t>
      </w:r>
      <w:r>
        <w:rPr>
          <w:sz w:val="36"/>
          <w:szCs w:val="36"/>
          <w:lang w:val="en-US"/>
        </w:rPr>
        <w:t xml:space="preserve"> </w:t>
      </w:r>
      <w:r w:rsidRPr="0018404B">
        <w:rPr>
          <w:sz w:val="36"/>
          <w:szCs w:val="36"/>
          <w:lang w:val="en-US"/>
        </w:rPr>
        <w:t>According to American Diabetes Association (ADA) guidelines, metformin therapy should be considered for type 2 diabetes prevention in adults with prediabetes—especially those aged 25–59, individuals with a BMI ≥35 kg/m², higher fasting plasma glucose (≥110 mg/dL), or elevated HbA1c (≥6.0%).</w:t>
      </w:r>
    </w:p>
    <w:p w14:paraId="537010BF" w14:textId="7194DE69" w:rsidR="0018404B" w:rsidRDefault="0018404B" w:rsidP="0018404B">
      <w:pPr>
        <w:pStyle w:val="ListParagraph"/>
        <w:rPr>
          <w:sz w:val="36"/>
          <w:szCs w:val="36"/>
          <w:lang w:val="en-US"/>
        </w:rPr>
      </w:pPr>
      <w:r w:rsidRPr="0018404B">
        <w:rPr>
          <w:sz w:val="36"/>
          <w:szCs w:val="36"/>
          <w:lang w:val="en-US"/>
        </w:rPr>
        <w:t>While intensive lifestyle modification remains the cornerstone of treatment, metformin can be initiated alongside lifestyle changes, particularly for patients at higher risk or where lifestyle measures alone are insufficient.</w:t>
      </w:r>
    </w:p>
    <w:p w14:paraId="51007D96" w14:textId="77777777" w:rsidR="0018404B" w:rsidRPr="0018404B" w:rsidRDefault="0018404B" w:rsidP="0018404B">
      <w:pPr>
        <w:pStyle w:val="ListParagraph"/>
        <w:numPr>
          <w:ilvl w:val="0"/>
          <w:numId w:val="1"/>
        </w:numPr>
        <w:rPr>
          <w:sz w:val="36"/>
          <w:szCs w:val="36"/>
          <w:lang w:val="en-US"/>
        </w:rPr>
      </w:pPr>
      <w:r w:rsidRPr="0018404B">
        <w:rPr>
          <w:sz w:val="36"/>
          <w:szCs w:val="36"/>
          <w:lang w:val="en-US"/>
        </w:rPr>
        <w:t>A statin (such as Atorvastatin or Rosuvastatin).</w:t>
      </w:r>
    </w:p>
    <w:p w14:paraId="746D4766" w14:textId="6D9F3CB9" w:rsidR="0018404B" w:rsidRDefault="0018404B" w:rsidP="0018404B">
      <w:pPr>
        <w:pStyle w:val="ListParagraph"/>
        <w:rPr>
          <w:sz w:val="36"/>
          <w:szCs w:val="36"/>
          <w:lang w:val="en-US"/>
        </w:rPr>
      </w:pPr>
      <w:r w:rsidRPr="0018404B">
        <w:rPr>
          <w:sz w:val="36"/>
          <w:szCs w:val="36"/>
          <w:lang w:val="en-US"/>
        </w:rPr>
        <w:t xml:space="preserve">According to American Diabetes Association (ADA) guidelines, moderate-intensity statin therapy is recommended for all patients aged 40–75 with type 2 diabetes, regardless of baseline cholesterol levels or preexisting cardiovascular disease, for the primary </w:t>
      </w:r>
      <w:r w:rsidRPr="0018404B">
        <w:rPr>
          <w:sz w:val="36"/>
          <w:szCs w:val="36"/>
          <w:lang w:val="en-US"/>
        </w:rPr>
        <w:lastRenderedPageBreak/>
        <w:t>prevention of atherosclerotic cardiovascular disease (ASCVD).</w:t>
      </w:r>
    </w:p>
    <w:p w14:paraId="741F4756" w14:textId="5F7F8F14" w:rsidR="0018404B" w:rsidRDefault="0018404B" w:rsidP="0018404B">
      <w:pPr>
        <w:pStyle w:val="ListParagraph"/>
        <w:numPr>
          <w:ilvl w:val="0"/>
          <w:numId w:val="1"/>
        </w:numPr>
        <w:rPr>
          <w:sz w:val="36"/>
          <w:szCs w:val="36"/>
          <w:lang w:val="en-US"/>
        </w:rPr>
      </w:pPr>
      <w:r w:rsidRPr="0018404B">
        <w:rPr>
          <w:sz w:val="36"/>
          <w:szCs w:val="36"/>
          <w:lang w:val="en-US"/>
        </w:rPr>
        <w:t>False</w:t>
      </w:r>
      <w:r>
        <w:rPr>
          <w:sz w:val="36"/>
          <w:szCs w:val="36"/>
          <w:lang w:val="en-US"/>
        </w:rPr>
        <w:t xml:space="preserve">. </w:t>
      </w:r>
      <w:r w:rsidRPr="0018404B">
        <w:rPr>
          <w:sz w:val="36"/>
          <w:szCs w:val="36"/>
          <w:lang w:val="en-US"/>
        </w:rPr>
        <w:t>While severe, chronic hyperglycemia impairs bone quality and increases fracture risk, glycemic management itself has not been proven to significantly reduce fracture risk in randomized trials. Intensive glycemic control fails to meaningfully decrease fractures and can even increase fall-related fractures secondary to hypoglycemia. Additionally, common glucose-lowering drugs like thiazolidinediones (TZDs) impair bone density, while insulin and sulfonylureas can elevate fall risk</w:t>
      </w:r>
      <w:r>
        <w:rPr>
          <w:sz w:val="36"/>
          <w:szCs w:val="36"/>
          <w:lang w:val="en-US"/>
        </w:rPr>
        <w:t>.</w:t>
      </w:r>
    </w:p>
    <w:p w14:paraId="2501DF9E" w14:textId="032438E8" w:rsidR="0018404B" w:rsidRDefault="0018404B" w:rsidP="0018404B">
      <w:pPr>
        <w:pStyle w:val="ListParagraph"/>
        <w:numPr>
          <w:ilvl w:val="0"/>
          <w:numId w:val="1"/>
        </w:numPr>
        <w:rPr>
          <w:sz w:val="36"/>
          <w:szCs w:val="36"/>
          <w:lang w:val="en-US"/>
        </w:rPr>
      </w:pPr>
      <w:r w:rsidRPr="0018404B">
        <w:rPr>
          <w:sz w:val="36"/>
          <w:szCs w:val="36"/>
          <w:lang w:val="en-US"/>
        </w:rPr>
        <w:t>True</w:t>
      </w:r>
      <w:r>
        <w:rPr>
          <w:sz w:val="36"/>
          <w:szCs w:val="36"/>
          <w:lang w:val="en-US"/>
        </w:rPr>
        <w:t xml:space="preserve">. </w:t>
      </w:r>
      <w:r w:rsidRPr="0018404B">
        <w:rPr>
          <w:sz w:val="36"/>
          <w:szCs w:val="36"/>
          <w:lang w:val="en-US"/>
        </w:rPr>
        <w:t>Chronically high blood sugar levels cause microvascular damage (angiopathy) and nerve damage (neuropathy) throughout the body, including the inner ear. This impairs blood flow to the cochlea and damages the auditory nerve. Over time, poorer glycemic control directly accelerates this degradation, resulting in a significantly higher risk and greater severity of sensorineural hearing loss.</w:t>
      </w:r>
    </w:p>
    <w:p w14:paraId="030B2077" w14:textId="153423B8" w:rsidR="0018404B" w:rsidRDefault="00DC1289" w:rsidP="00DC1289">
      <w:pPr>
        <w:pStyle w:val="ListParagraph"/>
        <w:numPr>
          <w:ilvl w:val="0"/>
          <w:numId w:val="1"/>
        </w:numPr>
        <w:rPr>
          <w:sz w:val="36"/>
          <w:szCs w:val="36"/>
          <w:lang w:val="en-US"/>
        </w:rPr>
      </w:pPr>
      <w:r w:rsidRPr="00DC1289">
        <w:rPr>
          <w:sz w:val="36"/>
          <w:szCs w:val="36"/>
          <w:lang w:val="en-US"/>
        </w:rPr>
        <w:t>False.</w:t>
      </w:r>
      <w:r>
        <w:rPr>
          <w:sz w:val="36"/>
          <w:szCs w:val="36"/>
          <w:lang w:val="en-US"/>
        </w:rPr>
        <w:t xml:space="preserve"> </w:t>
      </w:r>
      <w:r w:rsidRPr="00DC1289">
        <w:rPr>
          <w:sz w:val="36"/>
          <w:szCs w:val="36"/>
          <w:lang w:val="en-US"/>
        </w:rPr>
        <w:t>Current medical guidelines focus on the type of fat rather than the total amount.</w:t>
      </w:r>
      <w:r>
        <w:rPr>
          <w:sz w:val="36"/>
          <w:szCs w:val="36"/>
          <w:lang w:val="en-US"/>
        </w:rPr>
        <w:t xml:space="preserve"> </w:t>
      </w:r>
      <w:r w:rsidRPr="00DC1289">
        <w:rPr>
          <w:sz w:val="36"/>
          <w:szCs w:val="36"/>
          <w:lang w:val="en-US"/>
        </w:rPr>
        <w:t>Instead of cutting total fat, people with diabetes are advised to limit saturated and trans fats while incorporating healthy unsaturated fats (like those in olive oil, nuts, seeds, and avocados). Unsaturated fats improve insulin sensitivity, aid in blood sugar management, and support heart health.</w:t>
      </w:r>
    </w:p>
    <w:p w14:paraId="7CEDEEFD" w14:textId="64B55337" w:rsidR="00DC1289" w:rsidRPr="00DC1289" w:rsidRDefault="00DC1289" w:rsidP="00DC1289">
      <w:pPr>
        <w:pStyle w:val="ListParagraph"/>
        <w:numPr>
          <w:ilvl w:val="0"/>
          <w:numId w:val="1"/>
        </w:numPr>
        <w:rPr>
          <w:sz w:val="36"/>
          <w:szCs w:val="36"/>
          <w:lang w:val="en-US"/>
        </w:rPr>
      </w:pPr>
      <w:r w:rsidRPr="00DC1289">
        <w:rPr>
          <w:sz w:val="36"/>
          <w:szCs w:val="36"/>
          <w:lang w:val="en-US"/>
        </w:rPr>
        <w:t>D. Any one of the above</w:t>
      </w:r>
      <w:r>
        <w:rPr>
          <w:sz w:val="36"/>
          <w:szCs w:val="36"/>
          <w:lang w:val="en-US"/>
        </w:rPr>
        <w:t xml:space="preserve">. </w:t>
      </w:r>
      <w:r w:rsidRPr="00DC1289">
        <w:rPr>
          <w:sz w:val="36"/>
          <w:szCs w:val="36"/>
          <w:lang w:val="en-US"/>
        </w:rPr>
        <w:t xml:space="preserve">According to standard clinical guidelines (such as the ADA), glycemic status can be reliably assessed using HbA1c, Fasting Plasma </w:t>
      </w:r>
      <w:r w:rsidRPr="00DC1289">
        <w:rPr>
          <w:sz w:val="36"/>
          <w:szCs w:val="36"/>
          <w:lang w:val="en-US"/>
        </w:rPr>
        <w:lastRenderedPageBreak/>
        <w:t>Glucose (FPG), or a 2-hour Oral Glucose Tolerance Test (OGTT).</w:t>
      </w:r>
      <w:r w:rsidRPr="00DC1289">
        <w:rPr>
          <w:sz w:val="36"/>
          <w:szCs w:val="36"/>
          <w:lang w:val="en-US"/>
        </w:rPr>
        <w:t xml:space="preserve"> </w:t>
      </w:r>
    </w:p>
    <w:p w14:paraId="34609EE7" w14:textId="0257CA06" w:rsidR="00DC1289" w:rsidRDefault="00DC1289" w:rsidP="00DC1289">
      <w:pPr>
        <w:pStyle w:val="ListParagraph"/>
        <w:rPr>
          <w:sz w:val="36"/>
          <w:szCs w:val="36"/>
          <w:lang w:val="en-US"/>
        </w:rPr>
      </w:pPr>
      <w:r w:rsidRPr="00DC1289">
        <w:rPr>
          <w:sz w:val="36"/>
          <w:szCs w:val="36"/>
          <w:lang w:val="en-US"/>
        </w:rPr>
        <w:t>None of the patient's underlying conditions—such as coronary artery disease managed with low-dose aspirin (Ecosprin) or migraine—alter red blood cell turnover or interfere with test accuracy. Therefore, any of these standard tests is equally appropriate.</w:t>
      </w:r>
    </w:p>
    <w:p w14:paraId="711B6D80" w14:textId="39CE550A" w:rsidR="00DC1289" w:rsidRDefault="00DC1289" w:rsidP="00DC1289">
      <w:pPr>
        <w:pStyle w:val="ListParagraph"/>
        <w:numPr>
          <w:ilvl w:val="0"/>
          <w:numId w:val="1"/>
        </w:numPr>
        <w:rPr>
          <w:sz w:val="36"/>
          <w:szCs w:val="36"/>
          <w:lang w:val="en-US"/>
        </w:rPr>
      </w:pPr>
      <w:r w:rsidRPr="00DC1289">
        <w:rPr>
          <w:sz w:val="36"/>
          <w:szCs w:val="36"/>
          <w:lang w:val="en-US"/>
        </w:rPr>
        <w:t>True.</w:t>
      </w:r>
      <w:r>
        <w:rPr>
          <w:sz w:val="36"/>
          <w:szCs w:val="36"/>
          <w:lang w:val="en-US"/>
        </w:rPr>
        <w:t xml:space="preserve"> </w:t>
      </w:r>
      <w:r w:rsidRPr="00DC1289">
        <w:rPr>
          <w:sz w:val="36"/>
          <w:szCs w:val="36"/>
          <w:lang w:val="en-US"/>
        </w:rPr>
        <w:t>According to major clinical practice guidelines (including the American Diabetes Association), HbA1c testing is recommended at initial assessment to establish a baseline and regularly as part of ongoing care (typically every 3–6 months). It measures average blood glucose over the preceding 2–3 months, making it essential for evaluating long-term glycemic control, guiding treatment adjustments, and assessing the risk of diabetes-related complications.</w:t>
      </w:r>
    </w:p>
    <w:p w14:paraId="3E75C86C" w14:textId="5A2E32FA" w:rsidR="00DC1289" w:rsidRPr="00DC1289" w:rsidRDefault="00DC1289" w:rsidP="00DC1289">
      <w:pPr>
        <w:pStyle w:val="ListParagraph"/>
        <w:numPr>
          <w:ilvl w:val="0"/>
          <w:numId w:val="1"/>
        </w:numPr>
        <w:rPr>
          <w:sz w:val="36"/>
          <w:szCs w:val="36"/>
          <w:lang w:val="en-US"/>
        </w:rPr>
      </w:pPr>
      <w:r w:rsidRPr="00DC1289">
        <w:rPr>
          <w:sz w:val="36"/>
          <w:szCs w:val="36"/>
          <w:lang w:val="en-US"/>
        </w:rPr>
        <w:t>False.</w:t>
      </w:r>
      <w:r>
        <w:rPr>
          <w:sz w:val="36"/>
          <w:szCs w:val="36"/>
          <w:lang w:val="en-US"/>
        </w:rPr>
        <w:t xml:space="preserve"> </w:t>
      </w:r>
      <w:r w:rsidRPr="00DC1289">
        <w:rPr>
          <w:sz w:val="36"/>
          <w:szCs w:val="36"/>
          <w:lang w:val="en-US"/>
        </w:rPr>
        <w:t>Clinical guidelines, such as those from the American Diabetes Association (ADA), recommend that adults with diabetes who are meeting their glycemic goals and have stable glycemic control should get their HbA1c tested at least twice a year (every six months).</w:t>
      </w:r>
    </w:p>
    <w:p w14:paraId="3286AE8E" w14:textId="79310D4C" w:rsidR="00DC1289" w:rsidRDefault="00DC1289" w:rsidP="00DC1289">
      <w:pPr>
        <w:pStyle w:val="ListParagraph"/>
        <w:rPr>
          <w:sz w:val="36"/>
          <w:szCs w:val="36"/>
          <w:lang w:val="en-US"/>
        </w:rPr>
      </w:pPr>
      <w:r w:rsidRPr="00DC1289">
        <w:rPr>
          <w:sz w:val="36"/>
          <w:szCs w:val="36"/>
          <w:lang w:val="en-US"/>
        </w:rPr>
        <w:t>Quarterly testing (every three months) is advised for those whose treatment has changed or who aren't meeting their target goals. Annual testing is insufficient for maintaining and monitoring long-term glycemic stability.</w:t>
      </w:r>
    </w:p>
    <w:p w14:paraId="2DE0BB85" w14:textId="62919D6C" w:rsidR="00DC1289" w:rsidRDefault="00DC1289" w:rsidP="00DC1289">
      <w:pPr>
        <w:pStyle w:val="ListParagraph"/>
        <w:numPr>
          <w:ilvl w:val="0"/>
          <w:numId w:val="1"/>
        </w:numPr>
        <w:rPr>
          <w:sz w:val="36"/>
          <w:szCs w:val="36"/>
          <w:lang w:val="en-US"/>
        </w:rPr>
      </w:pPr>
      <w:r w:rsidRPr="00DC1289">
        <w:rPr>
          <w:sz w:val="36"/>
          <w:szCs w:val="36"/>
          <w:lang w:val="en-US"/>
        </w:rPr>
        <w:t>A. &lt;6.5%</w:t>
      </w:r>
      <w:r>
        <w:rPr>
          <w:sz w:val="36"/>
          <w:szCs w:val="36"/>
          <w:lang w:val="en-US"/>
        </w:rPr>
        <w:t xml:space="preserve">. </w:t>
      </w:r>
      <w:r w:rsidRPr="00DC1289">
        <w:rPr>
          <w:sz w:val="36"/>
          <w:szCs w:val="36"/>
          <w:lang w:val="en-US"/>
        </w:rPr>
        <w:t xml:space="preserve">A tighter HbA1c target of &lt; 6.5% is recommended for young patients with a long life expectancy, short disease duration (5 years), no vascular </w:t>
      </w:r>
      <w:r w:rsidRPr="00DC1289">
        <w:rPr>
          <w:sz w:val="36"/>
          <w:szCs w:val="36"/>
          <w:lang w:val="en-US"/>
        </w:rPr>
        <w:lastRenderedPageBreak/>
        <w:t>complications, and minimal hypoglycemia risk (since he is on metformin alone). Strict early glycemic control provides long-term microvascular and macrovascular benefits ("legacy effect") without compromising his active lifestyle.</w:t>
      </w:r>
    </w:p>
    <w:p w14:paraId="4F3FF145" w14:textId="1E2D09E3" w:rsidR="00DC1289" w:rsidRDefault="00DC1289" w:rsidP="00DC1289">
      <w:pPr>
        <w:pStyle w:val="ListParagraph"/>
        <w:numPr>
          <w:ilvl w:val="0"/>
          <w:numId w:val="1"/>
        </w:numPr>
        <w:rPr>
          <w:sz w:val="36"/>
          <w:szCs w:val="36"/>
          <w:lang w:val="en-US"/>
        </w:rPr>
      </w:pPr>
      <w:r w:rsidRPr="00DC1289">
        <w:rPr>
          <w:sz w:val="36"/>
          <w:szCs w:val="36"/>
          <w:lang w:val="en-US"/>
        </w:rPr>
        <w:t>D. Add semaglutide.</w:t>
      </w:r>
      <w:r>
        <w:rPr>
          <w:sz w:val="36"/>
          <w:szCs w:val="36"/>
          <w:lang w:val="en-US"/>
        </w:rPr>
        <w:t xml:space="preserve"> </w:t>
      </w:r>
      <w:r w:rsidRPr="00DC1289">
        <w:rPr>
          <w:sz w:val="36"/>
          <w:szCs w:val="36"/>
          <w:lang w:val="en-US"/>
        </w:rPr>
        <w:t>Semaglutide (GLP-1 RA) is recommended for patients with type 2 diabetes and chronic kidney disease (persistent albuminuria $\text{UACR } \approx 300\text{ mg/g}$) already receiving max-tolerated ACEi and SGLT2i to slow CKD progression. It does not worsen potassium levels.  Finerenone (A) is contraindicated for initiation because serum potassium ($5.3\text{ mEq/L}$) exceeds the initiation cutoff ($\le 5.0\text{ mEq/L}$).  Insulin titration (B) risks hypoglycemia ($\text{HbA1c } 7.0\%$).Lifestyle alone (C) is insufficient for progressive nephropathy.</w:t>
      </w:r>
    </w:p>
    <w:p w14:paraId="1B968D55" w14:textId="52E38B02" w:rsidR="00C2473A" w:rsidRPr="00C2473A" w:rsidRDefault="00C2473A" w:rsidP="00C2473A">
      <w:pPr>
        <w:pStyle w:val="ListParagraph"/>
        <w:numPr>
          <w:ilvl w:val="0"/>
          <w:numId w:val="1"/>
        </w:numPr>
        <w:rPr>
          <w:sz w:val="36"/>
          <w:szCs w:val="36"/>
          <w:lang w:val="en-US"/>
        </w:rPr>
      </w:pPr>
      <w:r w:rsidRPr="00C2473A">
        <w:rPr>
          <w:sz w:val="36"/>
          <w:szCs w:val="36"/>
          <w:lang w:val="en-US"/>
        </w:rPr>
        <w:t>C. Glargine plus metformin</w:t>
      </w:r>
      <w:r>
        <w:rPr>
          <w:sz w:val="36"/>
          <w:szCs w:val="36"/>
          <w:lang w:val="en-US"/>
        </w:rPr>
        <w:t xml:space="preserve">. </w:t>
      </w:r>
      <w:r w:rsidRPr="00C2473A">
        <w:rPr>
          <w:sz w:val="36"/>
          <w:szCs w:val="36"/>
          <w:lang w:val="en-US"/>
        </w:rPr>
        <w:t>An HbA1c of 9.0% combined with catabolic features (recent unexplained weight loss) indicates severe hyperglycemia and significant insulin deficiency.</w:t>
      </w:r>
    </w:p>
    <w:p w14:paraId="14850202" w14:textId="3C629870" w:rsidR="00DC1289" w:rsidRDefault="00C2473A" w:rsidP="00C2473A">
      <w:pPr>
        <w:pStyle w:val="ListParagraph"/>
        <w:rPr>
          <w:sz w:val="36"/>
          <w:szCs w:val="36"/>
          <w:lang w:val="en-US"/>
        </w:rPr>
      </w:pPr>
      <w:r w:rsidRPr="00C2473A">
        <w:rPr>
          <w:sz w:val="36"/>
          <w:szCs w:val="36"/>
          <w:lang w:val="en-US"/>
        </w:rPr>
        <w:t>According to clinical practice guidelines (including the ADA), initial therapy with basal insulin (Glargine) combined with Metformin is recommended for patients presenting with symptomatic severe hyperglycemia. Glargine rapidly reverses glucotoxicity and restores metabolic stability, while metformin addresses core insulin resistance. Once glycemic control stabilizes, the treatment regimen can be simplified.</w:t>
      </w:r>
    </w:p>
    <w:p w14:paraId="28FA072E" w14:textId="13F989D9" w:rsidR="00C2473A" w:rsidRDefault="00C2473A" w:rsidP="00C2473A">
      <w:pPr>
        <w:pStyle w:val="ListParagraph"/>
        <w:numPr>
          <w:ilvl w:val="0"/>
          <w:numId w:val="1"/>
        </w:numPr>
        <w:rPr>
          <w:sz w:val="36"/>
          <w:szCs w:val="36"/>
          <w:lang w:val="en-US"/>
        </w:rPr>
      </w:pPr>
      <w:r w:rsidRPr="00C2473A">
        <w:rPr>
          <w:sz w:val="36"/>
          <w:szCs w:val="36"/>
          <w:lang w:val="en-US"/>
        </w:rPr>
        <w:lastRenderedPageBreak/>
        <w:t>True.</w:t>
      </w:r>
      <w:r>
        <w:rPr>
          <w:sz w:val="36"/>
          <w:szCs w:val="36"/>
          <w:lang w:val="en-US"/>
        </w:rPr>
        <w:t xml:space="preserve"> </w:t>
      </w:r>
      <w:r w:rsidRPr="00C2473A">
        <w:rPr>
          <w:sz w:val="36"/>
          <w:szCs w:val="36"/>
          <w:lang w:val="en-US"/>
        </w:rPr>
        <w:t>A landmark study published in The New England Journal of Medicine showed that individuals with type 2 diabetes who maintain all major cardiovascular risk factors (glycemia, blood pressure, LDL cholesterol, smoking, and kidney function) within normal target ranges have little to no excess risk of mortality, myocardial infarction, or stroke compared to the general population. Managing these risk factors effectively can virtually eliminate the excess mortality gap associated with diabetes.</w:t>
      </w:r>
    </w:p>
    <w:p w14:paraId="539F3213" w14:textId="538B67CA" w:rsidR="00C2473A" w:rsidRDefault="00C2473A" w:rsidP="00C2473A">
      <w:pPr>
        <w:pStyle w:val="ListParagraph"/>
        <w:numPr>
          <w:ilvl w:val="0"/>
          <w:numId w:val="1"/>
        </w:numPr>
        <w:rPr>
          <w:sz w:val="36"/>
          <w:szCs w:val="36"/>
          <w:lang w:val="en-US"/>
        </w:rPr>
      </w:pPr>
      <w:r w:rsidRPr="00C2473A">
        <w:rPr>
          <w:sz w:val="36"/>
          <w:szCs w:val="36"/>
          <w:lang w:val="en-US"/>
        </w:rPr>
        <w:t>A. Confirm the diagnosis of</w:t>
      </w:r>
      <w:r>
        <w:rPr>
          <w:sz w:val="36"/>
          <w:szCs w:val="36"/>
          <w:lang w:val="en-US"/>
        </w:rPr>
        <w:t xml:space="preserve"> </w:t>
      </w:r>
      <w:r w:rsidRPr="00C2473A">
        <w:rPr>
          <w:sz w:val="36"/>
          <w:szCs w:val="36"/>
          <w:lang w:val="en-US"/>
        </w:rPr>
        <w:t>hypertension.</w:t>
      </w:r>
      <w:r>
        <w:rPr>
          <w:sz w:val="36"/>
          <w:szCs w:val="36"/>
          <w:lang w:val="en-US"/>
        </w:rPr>
        <w:t xml:space="preserve"> </w:t>
      </w:r>
      <w:r w:rsidRPr="00C2473A">
        <w:rPr>
          <w:sz w:val="36"/>
          <w:szCs w:val="36"/>
          <w:lang w:val="en-US"/>
        </w:rPr>
        <w:t>A single blood pressure reading of $\ge$180/120 mmHg (or DBP $\ge$110 mmHg per NICE guidelines) is sufficient to immediately confirm the diagnosis of severe hypertension without needing repeated measurements over days or weeks, particularly in high-risk patients with comorbidities like type 2 diabetes and coronary artery disease. Immediate diagnostic confirmation and medical evaluation for target organ damage are required to prompt prompt antihypertensive management.</w:t>
      </w:r>
    </w:p>
    <w:p w14:paraId="764889E1" w14:textId="364FAF9B" w:rsidR="00C2473A" w:rsidRPr="00C2473A" w:rsidRDefault="00C2473A" w:rsidP="00C2473A">
      <w:pPr>
        <w:pStyle w:val="ListParagraph"/>
        <w:numPr>
          <w:ilvl w:val="0"/>
          <w:numId w:val="1"/>
        </w:numPr>
        <w:rPr>
          <w:sz w:val="36"/>
          <w:szCs w:val="36"/>
          <w:lang w:val="en-US"/>
        </w:rPr>
      </w:pPr>
      <w:r w:rsidRPr="00C2473A">
        <w:rPr>
          <w:sz w:val="36"/>
          <w:szCs w:val="36"/>
          <w:lang w:val="en-US"/>
        </w:rPr>
        <w:t>C. Reduce amlodipine and add chlorthalidone.</w:t>
      </w:r>
      <w:r>
        <w:rPr>
          <w:sz w:val="36"/>
          <w:szCs w:val="36"/>
          <w:lang w:val="en-US"/>
        </w:rPr>
        <w:t xml:space="preserve"> </w:t>
      </w:r>
      <w:r w:rsidRPr="00C2473A">
        <w:rPr>
          <w:sz w:val="36"/>
          <w:szCs w:val="36"/>
          <w:lang w:val="en-US"/>
        </w:rPr>
        <w:t>The patient's swollen legs and headaches are classic dose-dependent side effects of high-dose amlodipine (10 mg). Additionally, his diastolic blood pressure remains elevated above target (135/92 mmHg; target &lt;130/80 mmHg in diabetes with microalbuminuria).</w:t>
      </w:r>
    </w:p>
    <w:p w14:paraId="3C79A2A6" w14:textId="1D6CE98D" w:rsidR="00C2473A" w:rsidRDefault="00C2473A" w:rsidP="00C2473A">
      <w:pPr>
        <w:pStyle w:val="ListParagraph"/>
        <w:rPr>
          <w:sz w:val="36"/>
          <w:szCs w:val="36"/>
          <w:lang w:val="en-US"/>
        </w:rPr>
      </w:pPr>
      <w:r w:rsidRPr="00C2473A">
        <w:rPr>
          <w:sz w:val="36"/>
          <w:szCs w:val="36"/>
          <w:lang w:val="en-US"/>
        </w:rPr>
        <w:t xml:space="preserve">Reducing amlodipine relieves the peripheral edema, while adding chlorthalidone helps lower blood pressure </w:t>
      </w:r>
      <w:r w:rsidRPr="00C2473A">
        <w:rPr>
          <w:sz w:val="36"/>
          <w:szCs w:val="36"/>
          <w:lang w:val="en-US"/>
        </w:rPr>
        <w:lastRenderedPageBreak/>
        <w:t>to target, manages volume, and works synergistically with enalapril.</w:t>
      </w:r>
    </w:p>
    <w:p w14:paraId="1039A02D" w14:textId="1D28F6DB" w:rsidR="00C2473A" w:rsidRPr="00C2473A" w:rsidRDefault="00C2473A" w:rsidP="00C2473A">
      <w:pPr>
        <w:pStyle w:val="ListParagraph"/>
        <w:numPr>
          <w:ilvl w:val="0"/>
          <w:numId w:val="1"/>
        </w:numPr>
        <w:rPr>
          <w:sz w:val="36"/>
          <w:szCs w:val="36"/>
          <w:lang w:val="en-US"/>
        </w:rPr>
      </w:pPr>
      <w:r w:rsidRPr="00C2473A">
        <w:rPr>
          <w:sz w:val="36"/>
          <w:szCs w:val="36"/>
          <w:lang w:val="en-US"/>
        </w:rPr>
        <w:t>A. Monitor UACR</w:t>
      </w:r>
      <w:r>
        <w:rPr>
          <w:sz w:val="36"/>
          <w:szCs w:val="36"/>
          <w:lang w:val="en-US"/>
        </w:rPr>
        <w:t xml:space="preserve">. </w:t>
      </w:r>
      <w:r w:rsidRPr="00C2473A">
        <w:rPr>
          <w:sz w:val="36"/>
          <w:szCs w:val="36"/>
          <w:lang w:val="en-US"/>
        </w:rPr>
        <w:t>Initiating an ACE inhibitor like enalapril commonly causes a benign, hemodynamic rise in serum creatinine of up to 30% due to reduced intraglomerular pressure.</w:t>
      </w:r>
    </w:p>
    <w:p w14:paraId="5C8FE6F9" w14:textId="7EFEDF30" w:rsidR="00C2473A" w:rsidRDefault="00C2473A" w:rsidP="00C2473A">
      <w:pPr>
        <w:pStyle w:val="ListParagraph"/>
        <w:rPr>
          <w:sz w:val="36"/>
          <w:szCs w:val="36"/>
          <w:lang w:val="en-US"/>
        </w:rPr>
      </w:pPr>
      <w:r w:rsidRPr="00C2473A">
        <w:rPr>
          <w:sz w:val="36"/>
          <w:szCs w:val="36"/>
          <w:lang w:val="en-US"/>
        </w:rPr>
        <w:t>Since this patient's creatinine increased by 25% (1.0 to 1.25 mg/dL), enalapril does not need to be stopped or reduced. The most appropriate next step for this diabetic patient with hypertension is to evaluate for diabetic kidney disease by checking the Urine Albumin-to-Creatinine Ratio (UACR).</w:t>
      </w:r>
    </w:p>
    <w:p w14:paraId="7537AC34" w14:textId="78839E5C" w:rsidR="00C2473A" w:rsidRPr="00C2473A" w:rsidRDefault="00C2473A" w:rsidP="00C2473A">
      <w:pPr>
        <w:pStyle w:val="ListParagraph"/>
        <w:numPr>
          <w:ilvl w:val="0"/>
          <w:numId w:val="1"/>
        </w:numPr>
        <w:rPr>
          <w:sz w:val="36"/>
          <w:szCs w:val="36"/>
          <w:lang w:val="en-US"/>
        </w:rPr>
      </w:pPr>
      <w:r w:rsidRPr="00C2473A">
        <w:rPr>
          <w:sz w:val="36"/>
          <w:szCs w:val="36"/>
          <w:lang w:val="en-US"/>
        </w:rPr>
        <w:t>True</w:t>
      </w:r>
      <w:r>
        <w:rPr>
          <w:sz w:val="36"/>
          <w:szCs w:val="36"/>
          <w:lang w:val="en-US"/>
        </w:rPr>
        <w:t xml:space="preserve">. </w:t>
      </w:r>
      <w:r w:rsidRPr="00C2473A">
        <w:rPr>
          <w:sz w:val="36"/>
          <w:szCs w:val="36"/>
          <w:lang w:val="en-US"/>
        </w:rPr>
        <w:t>Resistant hypertension is defined as blood pressure that remains above target despite the concurrent use of three antihypertensive agents of different classes at maximum tolerated doses. To meet the standard diagnostic criteria, one of these three medications must be a diuretic (e.g., chlorthalidone or hydrochlorothiazide).</w:t>
      </w:r>
    </w:p>
    <w:p w14:paraId="691CA1F0" w14:textId="7FA007CF" w:rsidR="00C2473A" w:rsidRDefault="00C2473A" w:rsidP="00C2473A">
      <w:pPr>
        <w:pStyle w:val="ListParagraph"/>
        <w:rPr>
          <w:sz w:val="36"/>
          <w:szCs w:val="36"/>
          <w:lang w:val="en-US"/>
        </w:rPr>
      </w:pPr>
      <w:r w:rsidRPr="00C2473A">
        <w:rPr>
          <w:sz w:val="36"/>
          <w:szCs w:val="36"/>
          <w:lang w:val="en-US"/>
        </w:rPr>
        <w:t>While atenolol (beta-blocker), lisinopril (ACE inhibitor), and amlodipine (calcium channel blocker) represent three distinct drug classes, the triple-therapy regimen lacks a diuretic.</w:t>
      </w:r>
    </w:p>
    <w:p w14:paraId="19514EB5" w14:textId="6EEE7BED" w:rsidR="00C2473A" w:rsidRDefault="002E177D" w:rsidP="00C2473A">
      <w:pPr>
        <w:pStyle w:val="ListParagraph"/>
        <w:numPr>
          <w:ilvl w:val="0"/>
          <w:numId w:val="1"/>
        </w:numPr>
        <w:rPr>
          <w:sz w:val="36"/>
          <w:szCs w:val="36"/>
          <w:lang w:val="en-US"/>
        </w:rPr>
      </w:pPr>
      <w:r w:rsidRPr="002E177D">
        <w:rPr>
          <w:sz w:val="36"/>
          <w:szCs w:val="36"/>
          <w:lang w:val="en-US"/>
        </w:rPr>
        <w:t>D. Start chlorthalidone plus</w:t>
      </w:r>
      <w:r>
        <w:rPr>
          <w:sz w:val="36"/>
          <w:szCs w:val="36"/>
          <w:lang w:val="en-US"/>
        </w:rPr>
        <w:t xml:space="preserve"> </w:t>
      </w:r>
      <w:r w:rsidRPr="002E177D">
        <w:rPr>
          <w:sz w:val="36"/>
          <w:szCs w:val="36"/>
          <w:lang w:val="en-US"/>
        </w:rPr>
        <w:t>enalapril:</w:t>
      </w:r>
      <w:r>
        <w:rPr>
          <w:sz w:val="36"/>
          <w:szCs w:val="36"/>
          <w:lang w:val="en-US"/>
        </w:rPr>
        <w:t xml:space="preserve"> </w:t>
      </w:r>
      <w:r w:rsidRPr="002E177D">
        <w:rPr>
          <w:sz w:val="36"/>
          <w:szCs w:val="36"/>
          <w:lang w:val="en-US"/>
        </w:rPr>
        <w:t>For patients with type 2 diabetes whose blood pressure is $\ge$150/90 mmHg (more than 20/10 mmHg above the target goal of &lt;130/80 mmHg), guidelines recommend initiating prompt dual combination therapy.</w:t>
      </w:r>
      <w:r>
        <w:rPr>
          <w:sz w:val="36"/>
          <w:szCs w:val="36"/>
          <w:lang w:val="en-US"/>
        </w:rPr>
        <w:t xml:space="preserve"> </w:t>
      </w:r>
      <w:r w:rsidRPr="002E177D">
        <w:rPr>
          <w:sz w:val="36"/>
          <w:szCs w:val="36"/>
          <w:lang w:val="en-US"/>
        </w:rPr>
        <w:t xml:space="preserve">An ACE inhibitor like enalapril provides vital renal protection, </w:t>
      </w:r>
      <w:r w:rsidRPr="002E177D">
        <w:rPr>
          <w:sz w:val="36"/>
          <w:szCs w:val="36"/>
          <w:lang w:val="en-US"/>
        </w:rPr>
        <w:lastRenderedPageBreak/>
        <w:t>while combining it with a thiazide-like diuretic like chlorthalidone offers synergistic blood pressure reduction to reach target goals safely. Single-agent therapy is insufficient for this degree of elevation.</w:t>
      </w:r>
    </w:p>
    <w:p w14:paraId="1A758FBA" w14:textId="2567F755" w:rsidR="002E177D" w:rsidRDefault="002E177D" w:rsidP="002E177D">
      <w:pPr>
        <w:pStyle w:val="ListParagraph"/>
        <w:numPr>
          <w:ilvl w:val="0"/>
          <w:numId w:val="1"/>
        </w:numPr>
        <w:rPr>
          <w:sz w:val="36"/>
          <w:szCs w:val="36"/>
          <w:lang w:val="en-US"/>
        </w:rPr>
      </w:pPr>
      <w:r w:rsidRPr="002E177D">
        <w:rPr>
          <w:sz w:val="36"/>
          <w:szCs w:val="36"/>
          <w:lang w:val="en-US"/>
        </w:rPr>
        <w:t>True.</w:t>
      </w:r>
      <w:r>
        <w:rPr>
          <w:sz w:val="36"/>
          <w:szCs w:val="36"/>
          <w:lang w:val="en-US"/>
        </w:rPr>
        <w:t xml:space="preserve"> </w:t>
      </w:r>
      <w:r w:rsidRPr="002E177D">
        <w:rPr>
          <w:sz w:val="36"/>
          <w:szCs w:val="36"/>
          <w:lang w:val="en-US"/>
        </w:rPr>
        <w:t>While generally paused prior to conception due to potential fetal risks, guidelines state that lipid-lowering therapy (such as statins or bile acid sequestrants) may be continued preconception or during pregnancy in select high-risk patients. This applies to individuals with severe familial hypercholesterolemia or established cardiovascular disease, where the critical benefit of maternal cardioprotection outweighs potential fetal risks</w:t>
      </w:r>
      <w:r>
        <w:rPr>
          <w:sz w:val="36"/>
          <w:szCs w:val="36"/>
          <w:lang w:val="en-US"/>
        </w:rPr>
        <w:t>.</w:t>
      </w:r>
    </w:p>
    <w:p w14:paraId="285AB587" w14:textId="06526853" w:rsidR="002E177D" w:rsidRDefault="002E177D" w:rsidP="002E177D">
      <w:pPr>
        <w:pStyle w:val="ListParagraph"/>
        <w:numPr>
          <w:ilvl w:val="0"/>
          <w:numId w:val="1"/>
        </w:numPr>
        <w:rPr>
          <w:sz w:val="36"/>
          <w:szCs w:val="36"/>
          <w:lang w:val="en-US"/>
        </w:rPr>
      </w:pPr>
      <w:r w:rsidRPr="002E177D">
        <w:rPr>
          <w:sz w:val="36"/>
          <w:szCs w:val="36"/>
          <w:lang w:val="en-US"/>
        </w:rPr>
        <w:t>False.</w:t>
      </w:r>
      <w:r>
        <w:rPr>
          <w:sz w:val="36"/>
          <w:szCs w:val="36"/>
          <w:lang w:val="en-US"/>
        </w:rPr>
        <w:t xml:space="preserve"> </w:t>
      </w:r>
      <w:r w:rsidRPr="002E177D">
        <w:rPr>
          <w:sz w:val="36"/>
          <w:szCs w:val="36"/>
          <w:lang w:val="en-US"/>
        </w:rPr>
        <w:t>Large landmark studies (such as the ACCORD trial) and clinical guidelines (ADA and ACC/AHA) show that adding a fibrate to statin therapy does not offer incremental cardiovascular risk reduction in individuals with type 2 diabetes. Additionally, combining statins with fibrates increases the risk of adverse effects, such as muscle toxicity (myopathy) and elevated liver enzymes. Statins remain the cornerstone treatment, with fibrates reserved primarily for severe hypertriglyceridemia to prevent pancreatitis.</w:t>
      </w:r>
    </w:p>
    <w:p w14:paraId="1239A514" w14:textId="0B110099" w:rsidR="002E177D" w:rsidRDefault="002E177D" w:rsidP="002E177D">
      <w:pPr>
        <w:pStyle w:val="ListParagraph"/>
        <w:numPr>
          <w:ilvl w:val="0"/>
          <w:numId w:val="1"/>
        </w:numPr>
        <w:rPr>
          <w:sz w:val="36"/>
          <w:szCs w:val="36"/>
          <w:lang w:val="en-US"/>
        </w:rPr>
      </w:pPr>
      <w:r w:rsidRPr="002E177D">
        <w:rPr>
          <w:sz w:val="36"/>
          <w:szCs w:val="36"/>
          <w:lang w:val="en-US"/>
        </w:rPr>
        <w:t>True</w:t>
      </w:r>
      <w:r>
        <w:rPr>
          <w:sz w:val="36"/>
          <w:szCs w:val="36"/>
          <w:lang w:val="en-US"/>
        </w:rPr>
        <w:t xml:space="preserve">: </w:t>
      </w:r>
      <w:r w:rsidRPr="002E177D">
        <w:rPr>
          <w:sz w:val="36"/>
          <w:szCs w:val="36"/>
          <w:lang w:val="en-US"/>
        </w:rPr>
        <w:t xml:space="preserve">Major clinical guidelines (ADA and ACC/AHA) state that low-dose aspirin may be considered for primary ASCVD prevention in adults aged 40–70 (or ≥50) with diabetes and additional risk factors like hypertension, provided they have elevated cardiovascular risk and no increased risk of bleeding. </w:t>
      </w:r>
      <w:r w:rsidRPr="002E177D">
        <w:rPr>
          <w:sz w:val="36"/>
          <w:szCs w:val="36"/>
          <w:lang w:val="en-US"/>
        </w:rPr>
        <w:lastRenderedPageBreak/>
        <w:t>Initiation requires shared decision-making to weigh benefits against potential bleeding risks</w:t>
      </w:r>
      <w:r>
        <w:rPr>
          <w:sz w:val="36"/>
          <w:szCs w:val="36"/>
          <w:lang w:val="en-US"/>
        </w:rPr>
        <w:t>.</w:t>
      </w:r>
    </w:p>
    <w:p w14:paraId="7D48593D" w14:textId="20447632" w:rsidR="002E177D" w:rsidRDefault="002E177D" w:rsidP="002E177D">
      <w:pPr>
        <w:pStyle w:val="ListParagraph"/>
        <w:numPr>
          <w:ilvl w:val="0"/>
          <w:numId w:val="1"/>
        </w:numPr>
        <w:rPr>
          <w:sz w:val="36"/>
          <w:szCs w:val="36"/>
          <w:lang w:val="en-US"/>
        </w:rPr>
      </w:pPr>
      <w:r w:rsidRPr="002E177D">
        <w:rPr>
          <w:sz w:val="36"/>
          <w:szCs w:val="36"/>
          <w:lang w:val="en-US"/>
        </w:rPr>
        <w:t>False.</w:t>
      </w:r>
      <w:r>
        <w:rPr>
          <w:sz w:val="36"/>
          <w:szCs w:val="36"/>
          <w:lang w:val="en-US"/>
        </w:rPr>
        <w:t xml:space="preserve"> </w:t>
      </w:r>
      <w:r w:rsidRPr="002E177D">
        <w:rPr>
          <w:sz w:val="36"/>
          <w:szCs w:val="36"/>
          <w:lang w:val="en-US"/>
        </w:rPr>
        <w:t>According to clinical guidelines (such as the American Diabetes Association), routine screening for ASCVD or coronary artery disease in asymptomatic individuals with type 2 diabetes is not recommended.  While diabetes increases cardiovascular risk, routine noninvasive diagnostic screening does not improve clinical outcomes compared to standard primary prevention—namely, systematically assessing and aggressively controlling risk factors like high blood pressure, dyslipidemia, and blood glucose.</w:t>
      </w:r>
    </w:p>
    <w:p w14:paraId="5C26F22C" w14:textId="4D7DB54F" w:rsidR="002E177D" w:rsidRDefault="002E177D" w:rsidP="002E177D">
      <w:pPr>
        <w:pStyle w:val="ListParagraph"/>
        <w:numPr>
          <w:ilvl w:val="0"/>
          <w:numId w:val="1"/>
        </w:numPr>
        <w:rPr>
          <w:sz w:val="36"/>
          <w:szCs w:val="36"/>
          <w:lang w:val="en-US"/>
        </w:rPr>
      </w:pPr>
      <w:r w:rsidRPr="002E177D">
        <w:rPr>
          <w:sz w:val="36"/>
          <w:szCs w:val="36"/>
          <w:lang w:val="en-US"/>
        </w:rPr>
        <w:t>B. Add rosuvastatin and</w:t>
      </w:r>
      <w:r>
        <w:rPr>
          <w:sz w:val="36"/>
          <w:szCs w:val="36"/>
          <w:lang w:val="en-US"/>
        </w:rPr>
        <w:t xml:space="preserve"> </w:t>
      </w:r>
      <w:r w:rsidRPr="002E177D">
        <w:rPr>
          <w:sz w:val="36"/>
          <w:szCs w:val="36"/>
          <w:lang w:val="en-US"/>
        </w:rPr>
        <w:t>dapagliflozin:</w:t>
      </w:r>
      <w:r>
        <w:rPr>
          <w:sz w:val="36"/>
          <w:szCs w:val="36"/>
          <w:lang w:val="en-US"/>
        </w:rPr>
        <w:t xml:space="preserve"> </w:t>
      </w:r>
      <w:r w:rsidRPr="002E177D">
        <w:rPr>
          <w:sz w:val="36"/>
          <w:szCs w:val="36"/>
          <w:lang w:val="en-US"/>
        </w:rPr>
        <w:t>This patient has established atherosclerotic cardiovascular disease (ASCVD) from his prior MI, making a high-intensity statin (like rosuvastatin) mandatory for secondary prevention. Furthermore, SGLT2 inhibitors (like dapagliflozin) are strongly recommended for type 2 diabetes patients with established ASCVD or heart failure to significantly reduce cardiovascular mortality and major adverse cardiovascular events (MACE), independent of baseline $\text{HbA}_{1\text{c}}$. Adding both simultaneously addresses both his lipid-related and glycemic/cardiovascular risk.</w:t>
      </w:r>
    </w:p>
    <w:p w14:paraId="4E8D8CCE" w14:textId="7D1AA5FC" w:rsidR="002E177D" w:rsidRDefault="002E177D" w:rsidP="002E177D">
      <w:pPr>
        <w:pStyle w:val="ListParagraph"/>
        <w:numPr>
          <w:ilvl w:val="0"/>
          <w:numId w:val="1"/>
        </w:numPr>
        <w:rPr>
          <w:sz w:val="36"/>
          <w:szCs w:val="36"/>
          <w:lang w:val="en-US"/>
        </w:rPr>
      </w:pPr>
      <w:r w:rsidRPr="002E177D">
        <w:rPr>
          <w:sz w:val="36"/>
          <w:szCs w:val="36"/>
          <w:lang w:val="en-US"/>
        </w:rPr>
        <w:t>True.  Unlike in type 1 diabetes—where diabetic kidney disease is almost always accompanied by diabetic retinopathy—up to 30% to 50% of people with type 2 diabetes who develop chronic kidney disease (CKD) do not have retinopathy.</w:t>
      </w:r>
      <w:r>
        <w:rPr>
          <w:sz w:val="36"/>
          <w:szCs w:val="36"/>
          <w:lang w:val="en-US"/>
        </w:rPr>
        <w:t xml:space="preserve"> </w:t>
      </w:r>
      <w:r w:rsidRPr="002E177D">
        <w:rPr>
          <w:sz w:val="36"/>
          <w:szCs w:val="36"/>
          <w:lang w:val="en-US"/>
        </w:rPr>
        <w:t xml:space="preserve">This occurs because CKD in type 2 </w:t>
      </w:r>
      <w:r w:rsidRPr="002E177D">
        <w:rPr>
          <w:sz w:val="36"/>
          <w:szCs w:val="36"/>
          <w:lang w:val="en-US"/>
        </w:rPr>
        <w:lastRenderedPageBreak/>
        <w:t>diabetes is often multifactorial, driven by comorbidities like hypertension, aging, or non-diabetic renal diseases that can cause kidney damage independently of retinal microvascular damage</w:t>
      </w:r>
      <w:r>
        <w:rPr>
          <w:sz w:val="36"/>
          <w:szCs w:val="36"/>
          <w:lang w:val="en-US"/>
        </w:rPr>
        <w:t>.</w:t>
      </w:r>
    </w:p>
    <w:p w14:paraId="06F85389" w14:textId="102DB7C7" w:rsidR="002E177D" w:rsidRDefault="00BF1D4B" w:rsidP="002E177D">
      <w:pPr>
        <w:pStyle w:val="ListParagraph"/>
        <w:numPr>
          <w:ilvl w:val="0"/>
          <w:numId w:val="1"/>
        </w:numPr>
        <w:rPr>
          <w:sz w:val="36"/>
          <w:szCs w:val="36"/>
          <w:lang w:val="en-US"/>
        </w:rPr>
      </w:pPr>
      <w:r w:rsidRPr="00BF1D4B">
        <w:rPr>
          <w:sz w:val="36"/>
          <w:szCs w:val="36"/>
          <w:lang w:val="en-US"/>
        </w:rPr>
        <w:t>False:</w:t>
      </w:r>
      <w:r>
        <w:rPr>
          <w:sz w:val="36"/>
          <w:szCs w:val="36"/>
          <w:lang w:val="en-US"/>
        </w:rPr>
        <w:t xml:space="preserve"> </w:t>
      </w:r>
      <w:r w:rsidRPr="00BF1D4B">
        <w:rPr>
          <w:sz w:val="36"/>
          <w:szCs w:val="36"/>
          <w:lang w:val="en-US"/>
        </w:rPr>
        <w:t>In people with type 2 diabetes, annual assessment of kidney function—using urinary albumin-to-creatinine ratio (UACR) and estimated glomerular filtration rate (eGFR)—should begin at the time of diagnosis, not 5 years later. Because type 2 diabetes often remains undetected for years before being diagnosed, chronic kidney disease may already be present at diagnosis.  The 5-year delay before initiating annual screening applies only to individuals with type 1 diabetes</w:t>
      </w:r>
      <w:r>
        <w:rPr>
          <w:sz w:val="36"/>
          <w:szCs w:val="36"/>
          <w:lang w:val="en-US"/>
        </w:rPr>
        <w:t>.</w:t>
      </w:r>
    </w:p>
    <w:p w14:paraId="201506D5" w14:textId="77777777" w:rsidR="00BF1D4B" w:rsidRPr="00BF1D4B" w:rsidRDefault="00BF1D4B" w:rsidP="00BF1D4B">
      <w:pPr>
        <w:pStyle w:val="ListParagraph"/>
        <w:numPr>
          <w:ilvl w:val="0"/>
          <w:numId w:val="1"/>
        </w:numPr>
        <w:rPr>
          <w:sz w:val="36"/>
          <w:szCs w:val="36"/>
          <w:lang w:val="en-US"/>
        </w:rPr>
      </w:pPr>
      <w:r w:rsidRPr="00BF1D4B">
        <w:rPr>
          <w:sz w:val="36"/>
          <w:szCs w:val="36"/>
          <w:lang w:val="en-US"/>
        </w:rPr>
        <w:t>His most appropriate HbA1c goal is &lt; 7.0%.</w:t>
      </w:r>
    </w:p>
    <w:p w14:paraId="4987D2A4" w14:textId="4EA6471A" w:rsidR="00BF1D4B" w:rsidRDefault="00BF1D4B" w:rsidP="00BF1D4B">
      <w:pPr>
        <w:pStyle w:val="ListParagraph"/>
        <w:rPr>
          <w:sz w:val="36"/>
          <w:szCs w:val="36"/>
          <w:lang w:val="en-US"/>
        </w:rPr>
      </w:pPr>
      <w:r w:rsidRPr="00BF1D4B">
        <w:rPr>
          <w:sz w:val="36"/>
          <w:szCs w:val="36"/>
          <w:lang w:val="en-US"/>
        </w:rPr>
        <w:t>Given his age (62), intact cognitive and functional status, long life expectancy, and early microvascular involvement (microalbuminuria, UACR 50 mg/g), guidelines recommend a target of &lt; 7.0%. Achieving this level helps slow the progression of diabetic kidney disease, while his continuous glucose monitoring (CGM) enables safe intensification of glycemic control without increasing the risk of hypoglycemia.</w:t>
      </w:r>
    </w:p>
    <w:p w14:paraId="3D45D7E7" w14:textId="0A7CF9DC" w:rsidR="00BF1D4B" w:rsidRDefault="00BF1D4B" w:rsidP="00BF1D4B">
      <w:pPr>
        <w:pStyle w:val="ListParagraph"/>
        <w:numPr>
          <w:ilvl w:val="0"/>
          <w:numId w:val="1"/>
        </w:numPr>
        <w:rPr>
          <w:sz w:val="36"/>
          <w:szCs w:val="36"/>
          <w:lang w:val="en-US"/>
        </w:rPr>
      </w:pPr>
      <w:r w:rsidRPr="00BF1D4B">
        <w:rPr>
          <w:sz w:val="36"/>
          <w:szCs w:val="36"/>
          <w:lang w:val="en-US"/>
        </w:rPr>
        <w:t>True.</w:t>
      </w:r>
      <w:r>
        <w:rPr>
          <w:sz w:val="36"/>
          <w:szCs w:val="36"/>
          <w:lang w:val="en-US"/>
        </w:rPr>
        <w:t xml:space="preserve"> </w:t>
      </w:r>
      <w:r w:rsidRPr="00BF1D4B">
        <w:rPr>
          <w:sz w:val="36"/>
          <w:szCs w:val="36"/>
          <w:lang w:val="en-US"/>
        </w:rPr>
        <w:t xml:space="preserve">At the end of life, treatment goals shift from strict long-term glycemic control to symptom management, comfort, and quality of life. Preventing microvascular or macrovascular complications is no longer relevant, whereas tight control increases the risk of severe hypoglycemia and unnecessary pill burden. </w:t>
      </w:r>
      <w:r w:rsidRPr="00BF1D4B">
        <w:rPr>
          <w:sz w:val="36"/>
          <w:szCs w:val="36"/>
          <w:lang w:val="en-US"/>
        </w:rPr>
        <w:lastRenderedPageBreak/>
        <w:t>Consequently, most glucose-lowering agents can be safely discontinued or simplified, leaving only minimal therapy if necessary to prevent symptomatic severe hyperglycemia or dehydration.</w:t>
      </w:r>
    </w:p>
    <w:p w14:paraId="097CB58F" w14:textId="52B5E4BF" w:rsidR="00BF1D4B" w:rsidRDefault="00BF1D4B" w:rsidP="00BF1D4B">
      <w:pPr>
        <w:pStyle w:val="ListParagraph"/>
        <w:numPr>
          <w:ilvl w:val="0"/>
          <w:numId w:val="1"/>
        </w:numPr>
        <w:rPr>
          <w:sz w:val="36"/>
          <w:szCs w:val="36"/>
          <w:lang w:val="en-US"/>
        </w:rPr>
      </w:pPr>
      <w:r w:rsidRPr="00BF1D4B">
        <w:rPr>
          <w:sz w:val="36"/>
          <w:szCs w:val="36"/>
          <w:lang w:val="en-US"/>
        </w:rPr>
        <w:t>True.  Long-term, poorly controlled diabetes causes chronic hyperglycemia, leading to microvascular (small blood vessel) damage and diabetic neuropathy (nerve damage).  This directly impairs sensory processing:  Hearing: Vascular and nerve damage to the inner ear (cochlea) and auditory nerve hinders sound transmission.  Smell &amp; Taste: Neuropathy and microvascular dysfunction alter olfactory and gustatory nerve pathways and sensory receptors.</w:t>
      </w:r>
    </w:p>
    <w:p w14:paraId="084E6625" w14:textId="15BC3879" w:rsidR="00BF1D4B" w:rsidRPr="00BF1D4B" w:rsidRDefault="00BF1D4B" w:rsidP="00BF1D4B">
      <w:pPr>
        <w:pStyle w:val="ListParagraph"/>
        <w:numPr>
          <w:ilvl w:val="0"/>
          <w:numId w:val="1"/>
        </w:numPr>
        <w:rPr>
          <w:sz w:val="36"/>
          <w:szCs w:val="36"/>
          <w:lang w:val="en-US"/>
        </w:rPr>
      </w:pPr>
      <w:r w:rsidRPr="00BF1D4B">
        <w:rPr>
          <w:sz w:val="36"/>
          <w:szCs w:val="36"/>
          <w:lang w:val="en-US"/>
        </w:rPr>
        <w:t>False.</w:t>
      </w:r>
      <w:r>
        <w:rPr>
          <w:sz w:val="36"/>
          <w:szCs w:val="36"/>
          <w:lang w:val="en-US"/>
        </w:rPr>
        <w:t xml:space="preserve"> </w:t>
      </w:r>
      <w:r w:rsidRPr="00BF1D4B">
        <w:rPr>
          <w:sz w:val="36"/>
          <w:szCs w:val="36"/>
          <w:lang w:val="en-US"/>
        </w:rPr>
        <w:t>RAS inhibitors (ACE inhibitors or ARBs) are recommended for secondary prevention—slowing progression in patients with Type 2 diabetes who already have chronic kidney disease (CKD) or hypertension with albuminuria.</w:t>
      </w:r>
    </w:p>
    <w:p w14:paraId="7657A637" w14:textId="271D0254" w:rsidR="00BF1D4B" w:rsidRPr="00BF1D4B" w:rsidRDefault="00BF1D4B" w:rsidP="00BF1D4B">
      <w:pPr>
        <w:pStyle w:val="ListParagraph"/>
        <w:rPr>
          <w:sz w:val="36"/>
          <w:szCs w:val="36"/>
          <w:lang w:val="en-US"/>
        </w:rPr>
      </w:pPr>
      <w:r w:rsidRPr="00BF1D4B">
        <w:rPr>
          <w:sz w:val="36"/>
          <w:szCs w:val="36"/>
          <w:lang w:val="en-US"/>
        </w:rPr>
        <w:t>However, major clinical guidelines do not recommend them for primary prevention (preventing the onset of CKD in non-hypertensive, normoalbuminuric patients with diabetes), as trials show no significant delay in CKD onset and an increased risk of adverse events like hyperkalemia and acute kidney injury.</w:t>
      </w:r>
    </w:p>
    <w:sectPr w:rsidR="00BF1D4B" w:rsidRPr="00BF1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70ED5"/>
    <w:multiLevelType w:val="hybridMultilevel"/>
    <w:tmpl w:val="886C13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6888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7C"/>
    <w:rsid w:val="0018404B"/>
    <w:rsid w:val="001F2A7C"/>
    <w:rsid w:val="002E177D"/>
    <w:rsid w:val="006E0FBC"/>
    <w:rsid w:val="00740937"/>
    <w:rsid w:val="00AC4361"/>
    <w:rsid w:val="00BF1D4B"/>
    <w:rsid w:val="00C2473A"/>
    <w:rsid w:val="00C90F9A"/>
    <w:rsid w:val="00DC12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506B9"/>
  <w15:chartTrackingRefBased/>
  <w15:docId w15:val="{B7EB410D-DE7E-457F-9A13-BB1CB1B84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A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2A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2A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2A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A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A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2A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2A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2A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A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A7C"/>
    <w:rPr>
      <w:rFonts w:eastAsiaTheme="majorEastAsia" w:cstheme="majorBidi"/>
      <w:color w:val="272727" w:themeColor="text1" w:themeTint="D8"/>
    </w:rPr>
  </w:style>
  <w:style w:type="paragraph" w:styleId="Title">
    <w:name w:val="Title"/>
    <w:basedOn w:val="Normal"/>
    <w:next w:val="Normal"/>
    <w:link w:val="TitleChar"/>
    <w:uiPriority w:val="10"/>
    <w:qFormat/>
    <w:rsid w:val="001F2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A7C"/>
    <w:pPr>
      <w:spacing w:before="160"/>
      <w:jc w:val="center"/>
    </w:pPr>
    <w:rPr>
      <w:i/>
      <w:iCs/>
      <w:color w:val="404040" w:themeColor="text1" w:themeTint="BF"/>
    </w:rPr>
  </w:style>
  <w:style w:type="character" w:customStyle="1" w:styleId="QuoteChar">
    <w:name w:val="Quote Char"/>
    <w:basedOn w:val="DefaultParagraphFont"/>
    <w:link w:val="Quote"/>
    <w:uiPriority w:val="29"/>
    <w:rsid w:val="001F2A7C"/>
    <w:rPr>
      <w:i/>
      <w:iCs/>
      <w:color w:val="404040" w:themeColor="text1" w:themeTint="BF"/>
    </w:rPr>
  </w:style>
  <w:style w:type="paragraph" w:styleId="ListParagraph">
    <w:name w:val="List Paragraph"/>
    <w:basedOn w:val="Normal"/>
    <w:uiPriority w:val="34"/>
    <w:qFormat/>
    <w:rsid w:val="001F2A7C"/>
    <w:pPr>
      <w:ind w:left="720"/>
      <w:contextualSpacing/>
    </w:pPr>
  </w:style>
  <w:style w:type="character" w:styleId="IntenseEmphasis">
    <w:name w:val="Intense Emphasis"/>
    <w:basedOn w:val="DefaultParagraphFont"/>
    <w:uiPriority w:val="21"/>
    <w:qFormat/>
    <w:rsid w:val="001F2A7C"/>
    <w:rPr>
      <w:i/>
      <w:iCs/>
      <w:color w:val="2F5496" w:themeColor="accent1" w:themeShade="BF"/>
    </w:rPr>
  </w:style>
  <w:style w:type="paragraph" w:styleId="IntenseQuote">
    <w:name w:val="Intense Quote"/>
    <w:basedOn w:val="Normal"/>
    <w:next w:val="Normal"/>
    <w:link w:val="IntenseQuoteChar"/>
    <w:uiPriority w:val="30"/>
    <w:qFormat/>
    <w:rsid w:val="001F2A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A7C"/>
    <w:rPr>
      <w:i/>
      <w:iCs/>
      <w:color w:val="2F5496" w:themeColor="accent1" w:themeShade="BF"/>
    </w:rPr>
  </w:style>
  <w:style w:type="character" w:styleId="IntenseReference">
    <w:name w:val="Intense Reference"/>
    <w:basedOn w:val="DefaultParagraphFont"/>
    <w:uiPriority w:val="32"/>
    <w:qFormat/>
    <w:rsid w:val="001F2A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2307</Words>
  <Characters>13151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Dhananjay Tiwari</dc:creator>
  <cp:keywords/>
  <dc:description/>
  <cp:lastModifiedBy>Dhananjay Tiwari</cp:lastModifiedBy>
  <cp:revision>2</cp:revision>
  <dcterms:created xsi:type="dcterms:W3CDTF">2026-08-09T13:18:00Z</dcterms:created>
  <dcterms:modified xsi:type="dcterms:W3CDTF">2026-08-09T14:06:00Z</dcterms:modified>
</cp:coreProperties>
</file>