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07E9" w14:textId="2075CDB5" w:rsidR="00AC4361" w:rsidRDefault="009E049E">
      <w:pPr>
        <w:rPr>
          <w:sz w:val="32"/>
          <w:szCs w:val="32"/>
          <w:lang w:val="en-US"/>
        </w:rPr>
      </w:pPr>
      <w:r>
        <w:rPr>
          <w:sz w:val="32"/>
          <w:szCs w:val="32"/>
          <w:lang w:val="en-US"/>
        </w:rPr>
        <w:t>Perplexity answers to LLM evaluation questions</w:t>
      </w:r>
    </w:p>
    <w:p w14:paraId="7105DFB7" w14:textId="0F2C003E" w:rsidR="009E049E" w:rsidRDefault="009E049E" w:rsidP="009E049E">
      <w:pPr>
        <w:pStyle w:val="ListParagraph"/>
        <w:numPr>
          <w:ilvl w:val="0"/>
          <w:numId w:val="1"/>
        </w:numPr>
        <w:rPr>
          <w:sz w:val="32"/>
          <w:szCs w:val="32"/>
          <w:lang w:val="en-US"/>
        </w:rPr>
      </w:pPr>
      <w:r w:rsidRPr="009E049E">
        <w:rPr>
          <w:sz w:val="32"/>
          <w:szCs w:val="32"/>
          <w:lang w:val="en-US"/>
        </w:rPr>
        <w:t>The diagnosis is **diabetes mellitus**, based on the HbA1c of 7.5% (≥6.5% diagnostic threshold) and random plasma glucose of 250 mg/dL (≥200 mg/dL).  Although FPG (109 mg/dL) and 2</w:t>
      </w:r>
      <w:r w:rsidRPr="009E049E">
        <w:rPr>
          <w:rFonts w:ascii="Cambria Math" w:hAnsi="Cambria Math" w:cs="Cambria Math"/>
          <w:sz w:val="32"/>
          <w:szCs w:val="32"/>
          <w:lang w:val="en-US"/>
        </w:rPr>
        <w:t>‑</w:t>
      </w:r>
      <w:r w:rsidRPr="009E049E">
        <w:rPr>
          <w:sz w:val="32"/>
          <w:szCs w:val="32"/>
          <w:lang w:val="en-US"/>
        </w:rPr>
        <w:t xml:space="preserve">hour OGTT (116 mg/dL) are below diabetic cutoffs, any single criterion in the diabetic range on repeat testing confirms diabetes. </w:t>
      </w:r>
    </w:p>
    <w:p w14:paraId="42C1D0D8" w14:textId="77777777" w:rsidR="009E049E" w:rsidRDefault="009E049E" w:rsidP="009E049E">
      <w:pPr>
        <w:pStyle w:val="ListParagraph"/>
        <w:numPr>
          <w:ilvl w:val="0"/>
          <w:numId w:val="1"/>
        </w:numPr>
        <w:rPr>
          <w:sz w:val="32"/>
          <w:szCs w:val="32"/>
          <w:lang w:val="en-US"/>
        </w:rPr>
      </w:pPr>
      <w:r w:rsidRPr="009E049E">
        <w:rPr>
          <w:sz w:val="32"/>
          <w:szCs w:val="32"/>
          <w:lang w:val="en-US"/>
        </w:rPr>
        <w:t>The most unlikely result is C) HbA1c: 6.5%.</w:t>
      </w:r>
    </w:p>
    <w:p w14:paraId="19CBC8E0" w14:textId="00F499ED" w:rsidR="009E049E" w:rsidRDefault="009E049E" w:rsidP="009E049E">
      <w:pPr>
        <w:pStyle w:val="ListParagraph"/>
        <w:rPr>
          <w:sz w:val="32"/>
          <w:szCs w:val="32"/>
          <w:lang w:val="en-US"/>
        </w:rPr>
      </w:pPr>
      <w:r w:rsidRPr="009E049E">
        <w:rPr>
          <w:sz w:val="32"/>
          <w:szCs w:val="32"/>
          <w:lang w:val="en-US"/>
        </w:rPr>
        <w:t>With a 15-year history of type 2 diabetes and an elevated 2-hour OGTT of 199 mg/dL (diabetes range), an HbA1c of exactly 6.5% (the diagnostic threshold) is improbably low. Long-standing diabetes typically yields higher HbA1c values unless exceptionally well-controlled. Additionally, COPD can falsely lower HbA1c due to altered red cell turnover, making this borderline value even less consistent with his profile</w:t>
      </w:r>
    </w:p>
    <w:p w14:paraId="4AA7BA3E" w14:textId="5FAB0BBF" w:rsidR="009E049E" w:rsidRDefault="00B64896" w:rsidP="009E049E">
      <w:pPr>
        <w:pStyle w:val="ListParagraph"/>
        <w:numPr>
          <w:ilvl w:val="0"/>
          <w:numId w:val="1"/>
        </w:numPr>
        <w:rPr>
          <w:sz w:val="32"/>
          <w:szCs w:val="32"/>
          <w:lang w:val="en-US"/>
        </w:rPr>
      </w:pPr>
      <w:r w:rsidRPr="00B64896">
        <w:rPr>
          <w:sz w:val="32"/>
          <w:szCs w:val="32"/>
          <w:lang w:val="en-US"/>
        </w:rPr>
        <w:t>False. The optimal interval is not definitively known, but 3 years—not 2 years—is generally considered reasonable for adults with normal initial glucose results. People with prediabetes or higher diabetes risk may need more frequent testing, often annually</w:t>
      </w:r>
      <w:r>
        <w:rPr>
          <w:sz w:val="32"/>
          <w:szCs w:val="32"/>
          <w:lang w:val="en-US"/>
        </w:rPr>
        <w:t>.</w:t>
      </w:r>
    </w:p>
    <w:p w14:paraId="2A78A6DF" w14:textId="09BD6BB6" w:rsidR="00B64896" w:rsidRDefault="00B64896" w:rsidP="009E049E">
      <w:pPr>
        <w:pStyle w:val="ListParagraph"/>
        <w:numPr>
          <w:ilvl w:val="0"/>
          <w:numId w:val="1"/>
        </w:numPr>
        <w:rPr>
          <w:sz w:val="32"/>
          <w:szCs w:val="32"/>
          <w:lang w:val="en-US"/>
        </w:rPr>
      </w:pPr>
      <w:r>
        <w:rPr>
          <w:sz w:val="32"/>
          <w:szCs w:val="32"/>
          <w:lang w:val="en-US"/>
        </w:rPr>
        <w:t xml:space="preserve">False. </w:t>
      </w:r>
      <w:r w:rsidRPr="00B64896">
        <w:rPr>
          <w:sz w:val="32"/>
          <w:szCs w:val="32"/>
          <w:lang w:val="en-US"/>
        </w:rPr>
        <w:t>Annual monitoring for diabetes complications in post–cystic fibrosis diabetes (CFRD) should begin 5 years after diagnosis, not immediately. This follows ADA guidelines adapted for CFRD, as microvascular complications (retinopathy, nephropathy, neuropathy) are uncommon in the first few years. If the exact diagnosis date is unknown, screening starts when fasting hyperglycemia is first documented</w:t>
      </w:r>
      <w:r>
        <w:rPr>
          <w:sz w:val="32"/>
          <w:szCs w:val="32"/>
          <w:lang w:val="en-US"/>
        </w:rPr>
        <w:t>.</w:t>
      </w:r>
    </w:p>
    <w:p w14:paraId="3A263317" w14:textId="55DFB40C" w:rsidR="00B64896" w:rsidRDefault="00B64896" w:rsidP="009E049E">
      <w:pPr>
        <w:pStyle w:val="ListParagraph"/>
        <w:numPr>
          <w:ilvl w:val="0"/>
          <w:numId w:val="1"/>
        </w:numPr>
        <w:rPr>
          <w:sz w:val="32"/>
          <w:szCs w:val="32"/>
          <w:lang w:val="en-US"/>
        </w:rPr>
      </w:pPr>
      <w:r w:rsidRPr="00B64896">
        <w:rPr>
          <w:sz w:val="32"/>
          <w:szCs w:val="32"/>
          <w:lang w:val="en-US"/>
        </w:rPr>
        <w:t xml:space="preserve">Yes. Metformin may be considered in adults with prediabetes, particularly those younger than 60 years, as this patient is. However, lifestyle modification remains first-line; initiation should depend on overall diabetes risk—especially BMI ≥35 kg/m², rising HbA1c/fasting glucose, or inadequate response </w:t>
      </w:r>
      <w:r w:rsidRPr="00B64896">
        <w:rPr>
          <w:sz w:val="32"/>
          <w:szCs w:val="32"/>
          <w:lang w:val="en-US"/>
        </w:rPr>
        <w:lastRenderedPageBreak/>
        <w:t>despite sustained lifestyle efforts—and renal function should be assessed first</w:t>
      </w:r>
      <w:r>
        <w:rPr>
          <w:sz w:val="32"/>
          <w:szCs w:val="32"/>
          <w:lang w:val="en-US"/>
        </w:rPr>
        <w:t>.</w:t>
      </w:r>
    </w:p>
    <w:p w14:paraId="7EB203BE" w14:textId="59214105" w:rsidR="00B64896" w:rsidRDefault="00B64896" w:rsidP="009E049E">
      <w:pPr>
        <w:pStyle w:val="ListParagraph"/>
        <w:numPr>
          <w:ilvl w:val="0"/>
          <w:numId w:val="1"/>
        </w:numPr>
        <w:rPr>
          <w:sz w:val="32"/>
          <w:szCs w:val="32"/>
          <w:lang w:val="en-US"/>
        </w:rPr>
      </w:pPr>
      <w:r w:rsidRPr="00B64896">
        <w:rPr>
          <w:sz w:val="32"/>
          <w:szCs w:val="32"/>
          <w:lang w:val="en-US"/>
        </w:rPr>
        <w:t>In a 55-year-old patient with type 2 diabetes, a statin is mandatorily started (unless contraindicated) for cardiovascular risk reduction, irrespective of baseline LDL cholesterol.</w:t>
      </w:r>
      <w:r w:rsidRPr="00B64896">
        <w:t xml:space="preserve"> </w:t>
      </w:r>
      <w:r w:rsidRPr="00B64896">
        <w:rPr>
          <w:sz w:val="32"/>
          <w:szCs w:val="32"/>
          <w:lang w:val="en-US"/>
        </w:rPr>
        <w:t>This is because diabetes significantly increases the risk of atherosclerotic cardiovascular disease, and guidelines universally recommend moderate- to high-intensity statin therapy for primary prevention in adults aged 40–75 years with diabetes</w:t>
      </w:r>
    </w:p>
    <w:p w14:paraId="7E919269" w14:textId="66DB9BD6" w:rsidR="00B64896" w:rsidRDefault="007B63F5" w:rsidP="009E049E">
      <w:pPr>
        <w:pStyle w:val="ListParagraph"/>
        <w:numPr>
          <w:ilvl w:val="0"/>
          <w:numId w:val="1"/>
        </w:numPr>
        <w:rPr>
          <w:sz w:val="32"/>
          <w:szCs w:val="32"/>
          <w:lang w:val="en-US"/>
        </w:rPr>
      </w:pPr>
      <w:r w:rsidRPr="007B63F5">
        <w:rPr>
          <w:sz w:val="32"/>
          <w:szCs w:val="32"/>
          <w:lang w:val="en-US"/>
        </w:rPr>
        <w:t>False. Although poor glycemic control is associated with higher fracture risk, evidence that intensive glycemic management significantly reduces fractures is weak. A randomized trial found no significant difference in fracture risk between intensive and standard glucose control. Good control may help indirectly by reducing complications and falls, but avoiding hypoglycemia—especially in older adults—is essential because it can increase fall and fracture risk</w:t>
      </w:r>
      <w:r>
        <w:rPr>
          <w:sz w:val="32"/>
          <w:szCs w:val="32"/>
          <w:lang w:val="en-US"/>
        </w:rPr>
        <w:t>.</w:t>
      </w:r>
    </w:p>
    <w:p w14:paraId="306E3E11" w14:textId="4099A40A" w:rsidR="007B63F5" w:rsidRDefault="007B63F5" w:rsidP="009E049E">
      <w:pPr>
        <w:pStyle w:val="ListParagraph"/>
        <w:numPr>
          <w:ilvl w:val="0"/>
          <w:numId w:val="1"/>
        </w:numPr>
        <w:rPr>
          <w:sz w:val="32"/>
          <w:szCs w:val="32"/>
          <w:lang w:val="en-US"/>
        </w:rPr>
      </w:pPr>
      <w:r w:rsidRPr="007B63F5">
        <w:rPr>
          <w:sz w:val="32"/>
          <w:szCs w:val="32"/>
          <w:lang w:val="en-US"/>
        </w:rPr>
        <w:t>True. Poor glycemic control—often reflected by elevated HbA1c—has been associated with a higher prevalence and greater severity of hearing impairment, particularly sensorineural hearing loss, in people with type 2 diabetes. Chronic hyperglycemia may damage the cochlear microvasculature and auditory nerves. However, this is an association and does not prove that poor glycemic control directly causes hearing loss.</w:t>
      </w:r>
    </w:p>
    <w:p w14:paraId="110DA5FB" w14:textId="429E0045" w:rsidR="007B63F5" w:rsidRDefault="007B63F5" w:rsidP="009E049E">
      <w:pPr>
        <w:pStyle w:val="ListParagraph"/>
        <w:numPr>
          <w:ilvl w:val="0"/>
          <w:numId w:val="1"/>
        </w:numPr>
        <w:rPr>
          <w:sz w:val="32"/>
          <w:szCs w:val="32"/>
          <w:lang w:val="en-US"/>
        </w:rPr>
      </w:pPr>
      <w:r w:rsidRPr="007B63F5">
        <w:rPr>
          <w:sz w:val="32"/>
          <w:szCs w:val="32"/>
          <w:lang w:val="en-US"/>
        </w:rPr>
        <w:t>False. People with diabetes do not necessarily need to reduce total fat; the type of fat is more important. They should limit saturated and trans fats and replace them with healthier unsaturated fats from foods such as fish, nuts, seeds, avocados, and vegetable oils. Total fat intake should be individualized according to calorie needs, weight goals, and overall health.</w:t>
      </w:r>
    </w:p>
    <w:p w14:paraId="36D87E5F" w14:textId="77777777" w:rsidR="007B63F5" w:rsidRDefault="007B63F5" w:rsidP="007B63F5">
      <w:pPr>
        <w:pStyle w:val="ListParagraph"/>
        <w:numPr>
          <w:ilvl w:val="0"/>
          <w:numId w:val="1"/>
        </w:numPr>
        <w:rPr>
          <w:sz w:val="32"/>
          <w:szCs w:val="32"/>
          <w:lang w:val="en-US"/>
        </w:rPr>
      </w:pPr>
      <w:r w:rsidRPr="007B63F5">
        <w:rPr>
          <w:sz w:val="32"/>
          <w:szCs w:val="32"/>
          <w:lang w:val="en-US"/>
        </w:rPr>
        <w:t>D. Any one of the above.</w:t>
      </w:r>
    </w:p>
    <w:p w14:paraId="5D2A25FC" w14:textId="02B00C67" w:rsidR="007B63F5" w:rsidRDefault="007B63F5" w:rsidP="007B63F5">
      <w:pPr>
        <w:pStyle w:val="ListParagraph"/>
        <w:rPr>
          <w:sz w:val="32"/>
          <w:szCs w:val="32"/>
          <w:lang w:val="en-US"/>
        </w:rPr>
      </w:pPr>
      <w:r w:rsidRPr="007B63F5">
        <w:rPr>
          <w:sz w:val="32"/>
          <w:szCs w:val="32"/>
          <w:lang w:val="en-US"/>
        </w:rPr>
        <w:lastRenderedPageBreak/>
        <w:t>HbA1c, fasting plasma glucose (FPG), and 2-hour OGTT plasma glucose are all accepted methods for assessing glycemic status. HbA1c is convenient for monitoring longer-term control, while FPG and OGTT measure current glucose regulation. Her migraine and low-dose aspirin (Ecosprin) do not make any listed test inappropriate</w:t>
      </w:r>
    </w:p>
    <w:p w14:paraId="5D6D7171" w14:textId="258E2028" w:rsidR="007B63F5" w:rsidRDefault="007B63F5" w:rsidP="007B63F5">
      <w:pPr>
        <w:pStyle w:val="ListParagraph"/>
        <w:numPr>
          <w:ilvl w:val="0"/>
          <w:numId w:val="1"/>
        </w:numPr>
        <w:rPr>
          <w:sz w:val="32"/>
          <w:szCs w:val="32"/>
          <w:lang w:val="en-US"/>
        </w:rPr>
      </w:pPr>
      <w:r w:rsidRPr="007B63F5">
        <w:rPr>
          <w:sz w:val="32"/>
          <w:szCs w:val="32"/>
          <w:lang w:val="en-US"/>
        </w:rPr>
        <w:t>True. HbA1c should be measured at the initial assessment and routinely during follow-up because it reflects average glycaemic control over the preceding 2–3 months and guides treatment decisions. Testing is generally performed every 3 months until targets are achieved, then at least every 6 months when control and therapy are stable.</w:t>
      </w:r>
    </w:p>
    <w:p w14:paraId="50ED5F6B" w14:textId="3D6C37E3" w:rsidR="00E81647" w:rsidRDefault="00E81647" w:rsidP="007B63F5">
      <w:pPr>
        <w:pStyle w:val="ListParagraph"/>
        <w:numPr>
          <w:ilvl w:val="0"/>
          <w:numId w:val="1"/>
        </w:numPr>
        <w:rPr>
          <w:sz w:val="32"/>
          <w:szCs w:val="32"/>
          <w:lang w:val="en-US"/>
        </w:rPr>
      </w:pPr>
      <w:r w:rsidRPr="00E81647">
        <w:rPr>
          <w:sz w:val="32"/>
          <w:szCs w:val="32"/>
          <w:lang w:val="en-US"/>
        </w:rPr>
        <w:t>False. Adults with diabetes who have achieved and are maintaining their glycemic goal generally need HbA1c testing twice yearly (every six months), not merely once a year. Testing every three months is recommended when treatment changes or glycemic targets are not met.</w:t>
      </w:r>
    </w:p>
    <w:p w14:paraId="16214878" w14:textId="52D883AF" w:rsidR="00E81647" w:rsidRPr="002E3376" w:rsidRDefault="002E3376" w:rsidP="002E3376">
      <w:pPr>
        <w:pStyle w:val="ListParagraph"/>
        <w:numPr>
          <w:ilvl w:val="0"/>
          <w:numId w:val="1"/>
        </w:numPr>
        <w:rPr>
          <w:sz w:val="32"/>
          <w:szCs w:val="32"/>
          <w:lang w:val="en-US"/>
        </w:rPr>
      </w:pPr>
      <w:r w:rsidRPr="002E3376">
        <w:rPr>
          <w:sz w:val="32"/>
          <w:szCs w:val="32"/>
          <w:lang w:val="en-US"/>
        </w:rPr>
        <w:t>A. &lt;6.5%</w:t>
      </w:r>
      <w:r>
        <w:rPr>
          <w:sz w:val="32"/>
          <w:szCs w:val="32"/>
          <w:lang w:val="en-US"/>
        </w:rPr>
        <w:t xml:space="preserve"> .</w:t>
      </w:r>
      <w:r w:rsidRPr="002E3376">
        <w:rPr>
          <w:sz w:val="32"/>
          <w:szCs w:val="32"/>
          <w:lang w:val="en-US"/>
        </w:rPr>
        <w:t>This young, physically active patient has relatively short-duration diabetes, no major comorbidities, and uses metformin, which carries minimal hypoglycemia risk. Therefore, a stricter HbA1c target of &lt;6.5% is reasonable if achievable safely. Glycemic goals should still be individualized, but HbA1c remains important for reducing long-term microvascular complications.</w:t>
      </w:r>
    </w:p>
    <w:p w14:paraId="68E6C840" w14:textId="4483E31F" w:rsidR="009E049E" w:rsidRDefault="002E3376" w:rsidP="002E3376">
      <w:pPr>
        <w:pStyle w:val="ListParagraph"/>
        <w:numPr>
          <w:ilvl w:val="0"/>
          <w:numId w:val="1"/>
        </w:numPr>
        <w:rPr>
          <w:sz w:val="32"/>
          <w:szCs w:val="32"/>
          <w:lang w:val="en-US"/>
        </w:rPr>
      </w:pPr>
      <w:r w:rsidRPr="002E3376">
        <w:rPr>
          <w:sz w:val="32"/>
          <w:szCs w:val="32"/>
          <w:lang w:val="en-US"/>
        </w:rPr>
        <w:t>C. Ask the patient to intensify lifestyle management. His HbA1c is near the usual target, so increasing insulin is unnecessary. Finerenone is inappropriate because serum potassium is elevated at 5.3 mEq/L; it should generally be initiated only with normal potassium and persistent albuminuria despite optimized therapy. Semaglutide is not required solely for these glycemic values. The new backache also warrants separate clinical assessment.</w:t>
      </w:r>
    </w:p>
    <w:p w14:paraId="4391293F" w14:textId="28CA1D86" w:rsidR="00AE1C83" w:rsidRPr="00AE1C83" w:rsidRDefault="00AE1C83" w:rsidP="00AE1C83">
      <w:pPr>
        <w:pStyle w:val="ListParagraph"/>
        <w:numPr>
          <w:ilvl w:val="0"/>
          <w:numId w:val="1"/>
        </w:numPr>
        <w:rPr>
          <w:sz w:val="32"/>
          <w:szCs w:val="32"/>
          <w:lang w:val="en-US"/>
        </w:rPr>
      </w:pPr>
      <w:r w:rsidRPr="00AE1C83">
        <w:rPr>
          <w:sz w:val="32"/>
          <w:szCs w:val="32"/>
          <w:lang w:val="en-US"/>
        </w:rPr>
        <w:lastRenderedPageBreak/>
        <w:t>Answer: C. Glargine plus metformin.</w:t>
      </w:r>
      <w:r>
        <w:rPr>
          <w:sz w:val="32"/>
          <w:szCs w:val="32"/>
          <w:lang w:val="en-US"/>
        </w:rPr>
        <w:t xml:space="preserve"> </w:t>
      </w:r>
      <w:r w:rsidRPr="00AE1C83">
        <w:rPr>
          <w:sz w:val="32"/>
          <w:szCs w:val="32"/>
          <w:lang w:val="en-US"/>
        </w:rPr>
        <w:t>HbA1c of 9% with recent unexplained weight loss suggests significant insulin deficiency and a catabolic state; insulin should therefore be initiated for rapid glycemic control. Metformin can be continued or added if renal function permits. GLP-1 agonists and SGLT2 inhibitors are useful but are less appropriate initially when symptomatic hyperglycemia and catabolism are present. Insulin is strongly considered when HbA1c exceeds approximately 9%, especially with symptoms.</w:t>
      </w:r>
    </w:p>
    <w:p w14:paraId="2ED94512" w14:textId="2915C772" w:rsidR="00157AA3" w:rsidRDefault="00157AA3" w:rsidP="00157AA3">
      <w:pPr>
        <w:pStyle w:val="ListParagraph"/>
        <w:numPr>
          <w:ilvl w:val="0"/>
          <w:numId w:val="1"/>
        </w:numPr>
        <w:rPr>
          <w:sz w:val="32"/>
          <w:szCs w:val="32"/>
          <w:lang w:val="en-US"/>
        </w:rPr>
      </w:pPr>
      <w:r w:rsidRPr="00157AA3">
        <w:rPr>
          <w:sz w:val="32"/>
          <w:szCs w:val="32"/>
          <w:lang w:val="en-US"/>
        </w:rPr>
        <w:t>True (with qualification). In people with type 2 diabetes, achieving control of most major risk factors—blood glucose, blood pressure, cholesterol, smoking, diet, physical activity, and weight—has been associated with life expectancy comparable to that of people without diabetes. This is an observed population-level association, not a guarantee for every individual, and depends on sustained control and overall health.</w:t>
      </w:r>
    </w:p>
    <w:p w14:paraId="4C3329C5" w14:textId="4469C5A1" w:rsidR="00157AA3" w:rsidRDefault="00157AA3" w:rsidP="00157AA3">
      <w:pPr>
        <w:pStyle w:val="ListParagraph"/>
        <w:numPr>
          <w:ilvl w:val="0"/>
          <w:numId w:val="1"/>
        </w:numPr>
        <w:rPr>
          <w:sz w:val="32"/>
          <w:szCs w:val="32"/>
          <w:lang w:val="en-US"/>
        </w:rPr>
      </w:pPr>
      <w:r w:rsidRPr="00157AA3">
        <w:rPr>
          <w:sz w:val="32"/>
          <w:szCs w:val="32"/>
          <w:lang w:val="en-US"/>
        </w:rPr>
        <w:t>A. Confirm the diagnosis of hypertension.</w:t>
      </w:r>
      <w:r>
        <w:rPr>
          <w:sz w:val="32"/>
          <w:szCs w:val="32"/>
          <w:lang w:val="en-US"/>
        </w:rPr>
        <w:t xml:space="preserve"> </w:t>
      </w:r>
      <w:r w:rsidRPr="00157AA3">
        <w:rPr>
          <w:sz w:val="32"/>
          <w:szCs w:val="32"/>
          <w:lang w:val="en-US"/>
        </w:rPr>
        <w:t>With a reading of 182/112 mmHg in a high-risk patient (diabetes, CAD, asthma), this represents severe hypertension requiring prompt confirmation and exclusion of hypertensive emergency before initiating treatment. Guidelines recommend that BP &gt;180/110 mmHg at screening requires exclusion of hypertensive emergencies, followed by prompt confirmation (preferably within a week) prior to commencing treatment. Waiting 3 weeks (option D) or even 24 hours (option B) delays necessary management in this high-risk patient.</w:t>
      </w:r>
    </w:p>
    <w:p w14:paraId="5125286E" w14:textId="0F9E5FF4" w:rsidR="00157AA3" w:rsidRDefault="00157AA3" w:rsidP="00157AA3">
      <w:pPr>
        <w:pStyle w:val="ListParagraph"/>
        <w:numPr>
          <w:ilvl w:val="0"/>
          <w:numId w:val="1"/>
        </w:numPr>
        <w:rPr>
          <w:sz w:val="32"/>
          <w:szCs w:val="32"/>
          <w:lang w:val="en-US"/>
        </w:rPr>
      </w:pPr>
      <w:r w:rsidRPr="00157AA3">
        <w:rPr>
          <w:sz w:val="32"/>
          <w:szCs w:val="32"/>
          <w:lang w:val="en-US"/>
        </w:rPr>
        <w:t>C. Reduce amlodipine and add chlorthalidone.</w:t>
      </w:r>
      <w:r>
        <w:rPr>
          <w:sz w:val="32"/>
          <w:szCs w:val="32"/>
          <w:lang w:val="en-US"/>
        </w:rPr>
        <w:t xml:space="preserve"> </w:t>
      </w:r>
      <w:r w:rsidRPr="00157AA3">
        <w:rPr>
          <w:sz w:val="32"/>
          <w:szCs w:val="32"/>
          <w:lang w:val="en-US"/>
        </w:rPr>
        <w:t xml:space="preserve">His BP remains above the usual diabetic target (&lt;130/80 mmHg), while bilateral leg edema is a common dose-related adverse effect of amlodipine. Chlorthalidone provides additional BP control and may reduce fluid retention. Enalapril should be continued because albuminuria (UACR 125 mg/g) indicates renal benefit </w:t>
      </w:r>
      <w:r w:rsidRPr="00157AA3">
        <w:rPr>
          <w:sz w:val="32"/>
          <w:szCs w:val="32"/>
          <w:lang w:val="en-US"/>
        </w:rPr>
        <w:lastRenderedPageBreak/>
        <w:t>from ACE inhibition; monitor serum potassium and renal function closely, especially with potassium already 5.0 mEq/L.</w:t>
      </w:r>
    </w:p>
    <w:p w14:paraId="5AFDED6A" w14:textId="5CE40F3A" w:rsidR="00157AA3" w:rsidRDefault="00157AA3" w:rsidP="00157AA3">
      <w:pPr>
        <w:pStyle w:val="ListParagraph"/>
        <w:numPr>
          <w:ilvl w:val="0"/>
          <w:numId w:val="1"/>
        </w:numPr>
        <w:rPr>
          <w:sz w:val="32"/>
          <w:szCs w:val="32"/>
          <w:lang w:val="en-US"/>
        </w:rPr>
      </w:pPr>
      <w:r w:rsidRPr="00157AA3">
        <w:rPr>
          <w:sz w:val="32"/>
          <w:szCs w:val="32"/>
          <w:lang w:val="en-US"/>
        </w:rPr>
        <w:t>A. Monitor UACR.</w:t>
      </w:r>
      <w:r>
        <w:rPr>
          <w:sz w:val="32"/>
          <w:szCs w:val="32"/>
          <w:lang w:val="en-US"/>
        </w:rPr>
        <w:t xml:space="preserve"> </w:t>
      </w:r>
      <w:r w:rsidRPr="00157AA3">
        <w:rPr>
          <w:sz w:val="32"/>
          <w:szCs w:val="32"/>
          <w:lang w:val="en-US"/>
        </w:rPr>
        <w:t>Creatinine increased from 1.0 to 1.25 mg/dL (25%) after starting enalapril, which is within the acceptable ≤30% rise caused by ACE-inhibitor–mediated reduction in intraglomerular pressure. Continue enalapril and assess renal protection with UACR, while also checking serum potassium and creatinine. Do not switch to lisinopril, since it has the same mechanism.</w:t>
      </w:r>
    </w:p>
    <w:p w14:paraId="4205BD4A" w14:textId="77777777" w:rsidR="00157AA3" w:rsidRPr="00157AA3" w:rsidRDefault="00157AA3" w:rsidP="00157AA3">
      <w:pPr>
        <w:pStyle w:val="ListParagraph"/>
        <w:numPr>
          <w:ilvl w:val="0"/>
          <w:numId w:val="1"/>
        </w:numPr>
        <w:rPr>
          <w:sz w:val="32"/>
          <w:szCs w:val="32"/>
          <w:lang w:val="en-US"/>
        </w:rPr>
      </w:pPr>
      <w:r w:rsidRPr="00157AA3">
        <w:rPr>
          <w:sz w:val="32"/>
          <w:szCs w:val="32"/>
          <w:lang w:val="en-US"/>
        </w:rPr>
        <w:t>False. Resistant hypertension is defined as blood pressure above goal despite three maximally tolerated drugs from different classes, typically including a renin–angiotensin system blocker, a long-acting calcium-channel blocker, and a diuretic. Atenolol may be appropriate for specific indications but does not replace the usual diuretic component. Medication adherence, accurate measurement, and white-coat hypertension should also be assessed.</w:t>
      </w:r>
    </w:p>
    <w:p w14:paraId="150D8FED" w14:textId="4FE636CB" w:rsidR="00157AA3" w:rsidRDefault="002C727F" w:rsidP="00157AA3">
      <w:pPr>
        <w:pStyle w:val="ListParagraph"/>
        <w:numPr>
          <w:ilvl w:val="0"/>
          <w:numId w:val="1"/>
        </w:numPr>
        <w:rPr>
          <w:sz w:val="32"/>
          <w:szCs w:val="32"/>
          <w:lang w:val="en-US"/>
        </w:rPr>
      </w:pPr>
      <w:r w:rsidRPr="002C727F">
        <w:rPr>
          <w:sz w:val="32"/>
          <w:szCs w:val="32"/>
          <w:lang w:val="en-US"/>
        </w:rPr>
        <w:t>B. Start enalapril. At 152/92 mmHg, a diabetic patient requires pharmacologic therapy, but combination therapy is generally reserved for markedly higher BP (approximately ≥160/100 mmHg). An ACE inhibitor is an appropriate initial choice in diabetes, particularly if albuminuria or chronic kidney disease is present; monitor serum creatinine and potassium. Atenolol is not routinely first-line, and chlorthalidone can be added later if BP remains uncontrolled.</w:t>
      </w:r>
    </w:p>
    <w:p w14:paraId="62027FCD" w14:textId="5E4CA4FD" w:rsidR="002C727F" w:rsidRDefault="002C727F" w:rsidP="00157AA3">
      <w:pPr>
        <w:pStyle w:val="ListParagraph"/>
        <w:numPr>
          <w:ilvl w:val="0"/>
          <w:numId w:val="1"/>
        </w:numPr>
        <w:rPr>
          <w:sz w:val="32"/>
          <w:szCs w:val="32"/>
          <w:lang w:val="en-US"/>
        </w:rPr>
      </w:pPr>
      <w:r w:rsidRPr="002C727F">
        <w:rPr>
          <w:sz w:val="32"/>
          <w:szCs w:val="32"/>
          <w:lang w:val="en-US"/>
        </w:rPr>
        <w:t>True. Although lipid-lowering drugs—especially statins—are generally stopped before planned conception, continuation may be considered in exceptional, very-high-risk patients (such as homozygous familial hypercholesterolemia or established cardiovascular disease) when maternal cardiovascular benefits outweigh potential fetal risks. This decision requires individualized specialist assessment and shared decision-</w:t>
      </w:r>
      <w:r w:rsidRPr="002C727F">
        <w:rPr>
          <w:sz w:val="32"/>
          <w:szCs w:val="32"/>
          <w:lang w:val="en-US"/>
        </w:rPr>
        <w:lastRenderedPageBreak/>
        <w:t>making. Bile-acid sequestrants are generally the preferred treatment when lipid lowering is necessary around pregnancy.</w:t>
      </w:r>
    </w:p>
    <w:p w14:paraId="1C82D5DE" w14:textId="77777777" w:rsidR="002C727F" w:rsidRPr="002C727F" w:rsidRDefault="002C727F" w:rsidP="002C727F">
      <w:pPr>
        <w:pStyle w:val="ListParagraph"/>
        <w:numPr>
          <w:ilvl w:val="0"/>
          <w:numId w:val="1"/>
        </w:numPr>
        <w:rPr>
          <w:sz w:val="32"/>
          <w:szCs w:val="32"/>
          <w:lang w:val="en-US"/>
        </w:rPr>
      </w:pPr>
      <w:r w:rsidRPr="002C727F">
        <w:rPr>
          <w:sz w:val="32"/>
          <w:szCs w:val="32"/>
          <w:lang w:val="en-US"/>
        </w:rPr>
        <w:t>False. Fibrates should not be routinely added to statin therapy in type 2 diabetes for additional cardiovascular risk reduction. The ACCORD-Lipid trial found no significant reduction in cardiovascular events compared with statin therapy alone. Combination therapy may be considered selectively for severe hypertriglyceridemia or persistent high triglycerides with low HDL cholesterol, under clinical supervision.</w:t>
      </w:r>
    </w:p>
    <w:p w14:paraId="03D26FA3" w14:textId="086B727D" w:rsidR="002C727F" w:rsidRDefault="002C727F" w:rsidP="00157AA3">
      <w:pPr>
        <w:pStyle w:val="ListParagraph"/>
        <w:numPr>
          <w:ilvl w:val="0"/>
          <w:numId w:val="1"/>
        </w:numPr>
        <w:rPr>
          <w:sz w:val="32"/>
          <w:szCs w:val="32"/>
          <w:lang w:val="en-US"/>
        </w:rPr>
      </w:pPr>
      <w:r w:rsidRPr="002C727F">
        <w:rPr>
          <w:sz w:val="32"/>
          <w:szCs w:val="32"/>
          <w:lang w:val="en-US"/>
        </w:rPr>
        <w:t>True. A 51-year-old man with diabetes and hypertension has increased cardiovascular risk and, if not at increased bleeding risk, low-dose aspirin may be considered for primary prevention after discussing benefits and bleeding risks. It is not routinely indicated for everyone; the decision should be individualized.</w:t>
      </w:r>
    </w:p>
    <w:p w14:paraId="101D467F" w14:textId="7142B6D5" w:rsidR="002C727F" w:rsidRDefault="002C727F" w:rsidP="002C727F">
      <w:pPr>
        <w:pStyle w:val="ListParagraph"/>
        <w:numPr>
          <w:ilvl w:val="0"/>
          <w:numId w:val="1"/>
        </w:numPr>
        <w:rPr>
          <w:sz w:val="32"/>
          <w:szCs w:val="32"/>
          <w:lang w:val="en-US"/>
        </w:rPr>
      </w:pPr>
      <w:r w:rsidRPr="002C727F">
        <w:rPr>
          <w:sz w:val="32"/>
          <w:szCs w:val="32"/>
          <w:lang w:val="en-US"/>
        </w:rPr>
        <w:t>False.</w:t>
      </w:r>
      <w:r>
        <w:rPr>
          <w:sz w:val="32"/>
          <w:szCs w:val="32"/>
          <w:lang w:val="en-US"/>
        </w:rPr>
        <w:t xml:space="preserve"> </w:t>
      </w:r>
      <w:r w:rsidRPr="002C727F">
        <w:rPr>
          <w:sz w:val="32"/>
          <w:szCs w:val="32"/>
          <w:lang w:val="en-US"/>
        </w:rPr>
        <w:t>While diabetes increases ASCVD risk, major guidelines (ADA, ACC/AHA) do not recommend routine screening for coronary artery disease in asymptomatic patients with type 2 diabetes, as it does not improve outcomes provided ASCVD risk factors are treated. Instead, annual risk assessment (e.g., blood pressure, lipids, smoking status) is recommended, not diagnostic screening tests like ECG or imaging.</w:t>
      </w:r>
    </w:p>
    <w:p w14:paraId="7FBA0B5A" w14:textId="0DD0858D" w:rsidR="002C727F" w:rsidRPr="002C727F" w:rsidRDefault="002C727F" w:rsidP="002C727F">
      <w:pPr>
        <w:pStyle w:val="ListParagraph"/>
        <w:numPr>
          <w:ilvl w:val="0"/>
          <w:numId w:val="1"/>
        </w:numPr>
        <w:rPr>
          <w:sz w:val="32"/>
          <w:szCs w:val="32"/>
          <w:lang w:val="en-US"/>
        </w:rPr>
      </w:pPr>
      <w:r w:rsidRPr="002C727F">
        <w:rPr>
          <w:sz w:val="32"/>
          <w:szCs w:val="32"/>
          <w:lang w:val="en-US"/>
        </w:rPr>
        <w:t>C. Add dapagliflozin, rosuvastatin, and semaglutide.</w:t>
      </w:r>
      <w:r>
        <w:rPr>
          <w:sz w:val="32"/>
          <w:szCs w:val="32"/>
          <w:lang w:val="en-US"/>
        </w:rPr>
        <w:t xml:space="preserve"> </w:t>
      </w:r>
      <w:r w:rsidRPr="002C727F">
        <w:rPr>
          <w:sz w:val="32"/>
          <w:szCs w:val="32"/>
          <w:lang w:val="en-US"/>
        </w:rPr>
        <w:t>Previous myocardial infarction establishes ASCVD, requiring a high-intensity statin (rosuvastatin). Dapagliflozin and semaglutide provide cardiovascular and renal risk reduction in type 2 diabetes with ASCVD, independent of HbA1c. The asymptomatic gallstone is not an absolute contraindication, but warrants monitoring for biliary symptoms. Smoking cessation, diet, exercise, and blood-pressure optimization remain essential.</w:t>
      </w:r>
    </w:p>
    <w:p w14:paraId="45BF362B" w14:textId="77777777" w:rsidR="002C727F" w:rsidRPr="002C727F" w:rsidRDefault="002C727F" w:rsidP="002C727F">
      <w:pPr>
        <w:pStyle w:val="ListParagraph"/>
        <w:numPr>
          <w:ilvl w:val="0"/>
          <w:numId w:val="1"/>
        </w:numPr>
        <w:rPr>
          <w:sz w:val="32"/>
          <w:szCs w:val="32"/>
          <w:lang w:val="en-US"/>
        </w:rPr>
      </w:pPr>
      <w:r w:rsidRPr="002C727F">
        <w:rPr>
          <w:sz w:val="32"/>
          <w:szCs w:val="32"/>
          <w:lang w:val="en-US"/>
        </w:rPr>
        <w:lastRenderedPageBreak/>
        <w:t>True. People with type 2 diabetes can develop chronic kidney disease—shown by albuminuria or reduced eGFR—with or without diabetic retinopathy. Unlike type 1 diabetes, kidney disease may already be present when type 2 diabetes is diagnosed, and retinopathy is not required for diabetic kidney disease. Therefore, kidney screening should include both urine albumin and eGFR, even when retinal examination is normal.</w:t>
      </w:r>
    </w:p>
    <w:p w14:paraId="18CE3C3A" w14:textId="7D205058" w:rsidR="002C727F" w:rsidRDefault="002C727F" w:rsidP="002C727F">
      <w:pPr>
        <w:pStyle w:val="ListParagraph"/>
        <w:numPr>
          <w:ilvl w:val="0"/>
          <w:numId w:val="1"/>
        </w:numPr>
        <w:rPr>
          <w:sz w:val="32"/>
          <w:szCs w:val="32"/>
          <w:lang w:val="en-US"/>
        </w:rPr>
      </w:pPr>
      <w:r w:rsidRPr="002C727F">
        <w:rPr>
          <w:sz w:val="32"/>
          <w:szCs w:val="32"/>
          <w:lang w:val="en-US"/>
        </w:rPr>
        <w:t>False.</w:t>
      </w:r>
      <w:r>
        <w:rPr>
          <w:sz w:val="32"/>
          <w:szCs w:val="32"/>
          <w:lang w:val="en-US"/>
        </w:rPr>
        <w:t xml:space="preserve"> </w:t>
      </w:r>
      <w:r w:rsidRPr="002C727F">
        <w:rPr>
          <w:sz w:val="32"/>
          <w:szCs w:val="32"/>
          <w:lang w:val="en-US"/>
        </w:rPr>
        <w:t>In type 2 diabetes, annual kidney function assessment with UACR (and eGFR) should begin at the time of diagnosis, not 5 years after. The 5-year delay applies only to type 1 diabetes. This is recommended by the ADA, KDIGO, and other guidelines, regardless of treatment status, because kidney disease may already be present at T2D diagnosis.</w:t>
      </w:r>
    </w:p>
    <w:p w14:paraId="21703AF0" w14:textId="3844DBC0" w:rsidR="002C727F" w:rsidRDefault="0054404B" w:rsidP="002C727F">
      <w:pPr>
        <w:pStyle w:val="ListParagraph"/>
        <w:numPr>
          <w:ilvl w:val="0"/>
          <w:numId w:val="1"/>
        </w:numPr>
        <w:rPr>
          <w:sz w:val="32"/>
          <w:szCs w:val="32"/>
          <w:lang w:val="en-US"/>
        </w:rPr>
      </w:pPr>
      <w:r w:rsidRPr="0054404B">
        <w:rPr>
          <w:sz w:val="32"/>
          <w:szCs w:val="32"/>
          <w:lang w:val="en-US"/>
        </w:rPr>
        <w:t>&lt;7.0–7.5%</w:t>
      </w:r>
      <w:r>
        <w:rPr>
          <w:sz w:val="32"/>
          <w:szCs w:val="32"/>
          <w:lang w:val="en-US"/>
        </w:rPr>
        <w:t xml:space="preserve">. </w:t>
      </w:r>
      <w:r w:rsidRPr="0054404B">
        <w:rPr>
          <w:sz w:val="32"/>
          <w:szCs w:val="32"/>
          <w:lang w:val="en-US"/>
        </w:rPr>
        <w:t>He is relatively healthy for his age, with intact cognitive/functional status and no frailty or limited life expectancy, so guidelines favor tighter control to reduce long-term microvascular risk while avoiding hypoglycemia. His current HbA1c of 7.8% is above this target, suggesting room for safe intensification if needed.</w:t>
      </w:r>
    </w:p>
    <w:p w14:paraId="0E92B46E" w14:textId="450A1CB1" w:rsidR="0054404B" w:rsidRDefault="0054404B" w:rsidP="002C727F">
      <w:pPr>
        <w:pStyle w:val="ListParagraph"/>
        <w:numPr>
          <w:ilvl w:val="0"/>
          <w:numId w:val="1"/>
        </w:numPr>
        <w:rPr>
          <w:sz w:val="32"/>
          <w:szCs w:val="32"/>
          <w:lang w:val="en-US"/>
        </w:rPr>
      </w:pPr>
      <w:r w:rsidRPr="0054404B">
        <w:rPr>
          <w:sz w:val="32"/>
          <w:szCs w:val="32"/>
          <w:lang w:val="en-US"/>
        </w:rPr>
        <w:t>True. At the end of life, diabetes care shifts from tight glycemic control to comfort and avoidance of distressing hypoglycemia or symptomatic hyperglycemia. Most type 2 diabetes medications can therefore be discontinued, particularly when oral intake is minimal; insulin may also be stopped in appropriate patients, but decisions should be individualized and clinically supervised.</w:t>
      </w:r>
    </w:p>
    <w:p w14:paraId="5F0E4054" w14:textId="3029F556" w:rsidR="0054404B" w:rsidRDefault="0054404B" w:rsidP="002C727F">
      <w:pPr>
        <w:pStyle w:val="ListParagraph"/>
        <w:numPr>
          <w:ilvl w:val="0"/>
          <w:numId w:val="1"/>
        </w:numPr>
        <w:rPr>
          <w:sz w:val="32"/>
          <w:szCs w:val="32"/>
          <w:lang w:val="en-US"/>
        </w:rPr>
      </w:pPr>
      <w:r w:rsidRPr="0054404B">
        <w:rPr>
          <w:sz w:val="32"/>
          <w:szCs w:val="32"/>
          <w:lang w:val="en-US"/>
        </w:rPr>
        <w:t>True. Long-term diabetes can impair hearing, smell, and taste, mainly through chronic high blood glucose causing microvascular damage and nerve dysfunction. However, the strength of evidence varies: hearing loss and smell impairment are better established, while taste changes are less consistent and may also result from medications or oral complications.</w:t>
      </w:r>
    </w:p>
    <w:p w14:paraId="31C97268" w14:textId="5262C26C" w:rsidR="0054404B" w:rsidRPr="00811948" w:rsidRDefault="0054404B" w:rsidP="00811948">
      <w:pPr>
        <w:pStyle w:val="ListParagraph"/>
        <w:numPr>
          <w:ilvl w:val="0"/>
          <w:numId w:val="1"/>
        </w:numPr>
        <w:rPr>
          <w:sz w:val="32"/>
          <w:szCs w:val="32"/>
          <w:lang w:val="en-US"/>
        </w:rPr>
      </w:pPr>
      <w:r w:rsidRPr="0054404B">
        <w:rPr>
          <w:sz w:val="32"/>
          <w:szCs w:val="32"/>
          <w:lang w:val="en-US"/>
        </w:rPr>
        <w:lastRenderedPageBreak/>
        <w:t>True, but with important caveats.</w:t>
      </w:r>
      <w:r w:rsidR="00811948">
        <w:rPr>
          <w:sz w:val="32"/>
          <w:szCs w:val="32"/>
          <w:lang w:val="en-US"/>
        </w:rPr>
        <w:t xml:space="preserve"> </w:t>
      </w:r>
      <w:r w:rsidRPr="00811948">
        <w:rPr>
          <w:sz w:val="32"/>
          <w:szCs w:val="32"/>
          <w:lang w:val="en-US"/>
        </w:rPr>
        <w:t>RAS inhibitors (ACE inhibitors/ARBs) are recommended for secondary prevention (slowing progression) in type 2 diabetes with established CKD, hypertension, or albuminuria. However, they are not recommended for primary prevention in normotensive patients with normal albuminuria and eGFR, as evidence shows no benefit in preventing CKD development in this group. Current guidelines reserve RAS blockade for patients with hypertension or albuminuria (UACR ≥30 mg/g).</w:t>
      </w:r>
    </w:p>
    <w:p w14:paraId="1F995570" w14:textId="77777777" w:rsidR="002C727F" w:rsidRPr="00157AA3" w:rsidRDefault="002C727F" w:rsidP="002C727F">
      <w:pPr>
        <w:pStyle w:val="ListParagraph"/>
        <w:rPr>
          <w:sz w:val="32"/>
          <w:szCs w:val="32"/>
          <w:lang w:val="en-US"/>
        </w:rPr>
      </w:pPr>
    </w:p>
    <w:sectPr w:rsidR="002C727F" w:rsidRPr="00157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84FE4"/>
    <w:multiLevelType w:val="hybridMultilevel"/>
    <w:tmpl w:val="2CEA5C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518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49E"/>
    <w:rsid w:val="00157AA3"/>
    <w:rsid w:val="002C727F"/>
    <w:rsid w:val="002E3376"/>
    <w:rsid w:val="0054404B"/>
    <w:rsid w:val="006E0FBC"/>
    <w:rsid w:val="00740937"/>
    <w:rsid w:val="007B63F5"/>
    <w:rsid w:val="00811948"/>
    <w:rsid w:val="009E049E"/>
    <w:rsid w:val="00AC4361"/>
    <w:rsid w:val="00AE1C83"/>
    <w:rsid w:val="00B64896"/>
    <w:rsid w:val="00B96B49"/>
    <w:rsid w:val="00C90F9A"/>
    <w:rsid w:val="00E81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1F7A3"/>
  <w15:chartTrackingRefBased/>
  <w15:docId w15:val="{0D302D93-A499-4DAF-AD5B-4CE74789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4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4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4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4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4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4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4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4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4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4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49E"/>
    <w:rPr>
      <w:rFonts w:eastAsiaTheme="majorEastAsia" w:cstheme="majorBidi"/>
      <w:color w:val="272727" w:themeColor="text1" w:themeTint="D8"/>
    </w:rPr>
  </w:style>
  <w:style w:type="paragraph" w:styleId="Title">
    <w:name w:val="Title"/>
    <w:basedOn w:val="Normal"/>
    <w:next w:val="Normal"/>
    <w:link w:val="TitleChar"/>
    <w:uiPriority w:val="10"/>
    <w:qFormat/>
    <w:rsid w:val="009E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49E"/>
    <w:pPr>
      <w:spacing w:before="160"/>
      <w:jc w:val="center"/>
    </w:pPr>
    <w:rPr>
      <w:i/>
      <w:iCs/>
      <w:color w:val="404040" w:themeColor="text1" w:themeTint="BF"/>
    </w:rPr>
  </w:style>
  <w:style w:type="character" w:customStyle="1" w:styleId="QuoteChar">
    <w:name w:val="Quote Char"/>
    <w:basedOn w:val="DefaultParagraphFont"/>
    <w:link w:val="Quote"/>
    <w:uiPriority w:val="29"/>
    <w:rsid w:val="009E049E"/>
    <w:rPr>
      <w:i/>
      <w:iCs/>
      <w:color w:val="404040" w:themeColor="text1" w:themeTint="BF"/>
    </w:rPr>
  </w:style>
  <w:style w:type="paragraph" w:styleId="ListParagraph">
    <w:name w:val="List Paragraph"/>
    <w:basedOn w:val="Normal"/>
    <w:uiPriority w:val="34"/>
    <w:qFormat/>
    <w:rsid w:val="009E049E"/>
    <w:pPr>
      <w:ind w:left="720"/>
      <w:contextualSpacing/>
    </w:pPr>
  </w:style>
  <w:style w:type="character" w:styleId="IntenseEmphasis">
    <w:name w:val="Intense Emphasis"/>
    <w:basedOn w:val="DefaultParagraphFont"/>
    <w:uiPriority w:val="21"/>
    <w:qFormat/>
    <w:rsid w:val="009E049E"/>
    <w:rPr>
      <w:i/>
      <w:iCs/>
      <w:color w:val="2F5496" w:themeColor="accent1" w:themeShade="BF"/>
    </w:rPr>
  </w:style>
  <w:style w:type="paragraph" w:styleId="IntenseQuote">
    <w:name w:val="Intense Quote"/>
    <w:basedOn w:val="Normal"/>
    <w:next w:val="Normal"/>
    <w:link w:val="IntenseQuoteChar"/>
    <w:uiPriority w:val="30"/>
    <w:qFormat/>
    <w:rsid w:val="009E0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49E"/>
    <w:rPr>
      <w:i/>
      <w:iCs/>
      <w:color w:val="2F5496" w:themeColor="accent1" w:themeShade="BF"/>
    </w:rPr>
  </w:style>
  <w:style w:type="character" w:styleId="IntenseReference">
    <w:name w:val="Intense Reference"/>
    <w:basedOn w:val="DefaultParagraphFont"/>
    <w:uiPriority w:val="32"/>
    <w:qFormat/>
    <w:rsid w:val="009E049E"/>
    <w:rPr>
      <w:b/>
      <w:bCs/>
      <w:smallCaps/>
      <w:color w:val="2F5496" w:themeColor="accent1" w:themeShade="BF"/>
      <w:spacing w:val="5"/>
    </w:rPr>
  </w:style>
  <w:style w:type="character" w:styleId="Hyperlink">
    <w:name w:val="Hyperlink"/>
    <w:basedOn w:val="DefaultParagraphFont"/>
    <w:uiPriority w:val="99"/>
    <w:unhideWhenUsed/>
    <w:rsid w:val="009E049E"/>
    <w:rPr>
      <w:color w:val="0563C1" w:themeColor="hyperlink"/>
      <w:u w:val="single"/>
    </w:rPr>
  </w:style>
  <w:style w:type="character" w:styleId="UnresolvedMention">
    <w:name w:val="Unresolved Mention"/>
    <w:basedOn w:val="DefaultParagraphFont"/>
    <w:uiPriority w:val="99"/>
    <w:semiHidden/>
    <w:unhideWhenUsed/>
    <w:rsid w:val="009E0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Tiwari</dc:creator>
  <cp:keywords/>
  <dc:description/>
  <cp:lastModifiedBy>Dhananjay Tiwari</cp:lastModifiedBy>
  <cp:revision>4</cp:revision>
  <dcterms:created xsi:type="dcterms:W3CDTF">2026-08-09T10:48:00Z</dcterms:created>
  <dcterms:modified xsi:type="dcterms:W3CDTF">2026-08-09T15:06:00Z</dcterms:modified>
</cp:coreProperties>
</file>