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after="0" w:before="0"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TIWAYSYYA SANTHRA SEGARAN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spacing w:after="0" w:before="0" w:line="276" w:lineRule="auto"/>
        <w:jc w:val="center"/>
        <w:rPr>
          <w:rFonts w:ascii="Calibri" w:cs="Calibri" w:eastAsia="Calibri" w:hAnsi="Calibri"/>
          <w:color w:val="1e1e1e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London, UK |</w:t>
      </w:r>
      <w:r w:rsidDel="00000000" w:rsidR="00000000" w:rsidRPr="00000000">
        <w:rPr>
          <w:rFonts w:ascii="Calibri" w:cs="Calibri" w:eastAsia="Calibri" w:hAnsi="Calibri"/>
          <w:color w:val="1e1e1e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color w:val="1e1e1e"/>
            <w:sz w:val="24"/>
            <w:szCs w:val="24"/>
            <w:rtl w:val="0"/>
          </w:rPr>
          <w:t xml:space="preserve">tiwaysyya@gmail.com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+44 7778007951 |</w:t>
      </w:r>
      <w:r w:rsidDel="00000000" w:rsidR="00000000" w:rsidRPr="00000000">
        <w:rPr>
          <w:rFonts w:ascii="Calibri" w:cs="Calibri" w:eastAsia="Calibri" w:hAnsi="Calibri"/>
          <w:color w:val="1e1e1e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1e1e1e"/>
            <w:sz w:val="24"/>
            <w:szCs w:val="24"/>
            <w:rtl w:val="0"/>
          </w:rPr>
          <w:t xml:space="preserve">MyLinkedIn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bottom w:color="a6a6a6" w:space="1" w:sz="4" w:val="single"/>
        </w:pBdr>
        <w:spacing w:after="0" w:before="0" w:line="276" w:lineRule="auto"/>
        <w:ind w:hanging="11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spacing w:after="0" w:before="0" w:line="276" w:lineRule="auto"/>
        <w:ind w:left="0" w:firstLine="0"/>
        <w:rPr>
          <w:rFonts w:ascii="Calibri" w:cs="Calibri" w:eastAsia="Calibri" w:hAnsi="Calibri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Imperial College London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 BSc Biotechnology Hons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Oct 2022 — Jun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Upper Second Class Honours (68.88%)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Delivered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1st Class research dissertations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defining scope, documenting experimental methodologies and analysing datasets in Excel and RStudio to produce technical reports for expert academic evaluation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spacing w:after="0" w:before="0" w:line="276" w:lineRule="auto"/>
        <w:ind w:left="0" w:hanging="11"/>
        <w:rPr>
          <w:rFonts w:ascii="Calibri" w:cs="Calibri" w:eastAsia="Calibri" w:hAnsi="Calibri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Cambridge A-Levels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Methodist College Kuala Lumpur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Jan 2020 — May 2021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4A*s in Maths, Biology, Chemistry &amp; Physics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Awards: Merit Scholarship recipient and Dean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 List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Top 1% of 300+ student cohort)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bottom w:color="a6a6a6" w:space="1" w:sz="4" w:val="single"/>
        </w:pBdr>
        <w:spacing w:after="0" w:before="0" w:line="276" w:lineRule="auto"/>
        <w:ind w:left="-10" w:firstLine="0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spacing w:after="0" w:before="0" w:line="276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Equity Research Analyst Intern, RHB Asset Management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Kuala Lumpur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Jul 2024 —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ind w:left="57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Conducted market and competitive analysis across 20+ healthcare providers to assess the impact of regional medical tourism inflows and exchange rate shifts on foreign patient revenue mix and bed occupancy rates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ind w:left="57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Delivered daily briefing notes within 4-8 hour reporting cycles, synthesising market shifts and forecast revisions into decision summaries that supported time-sensitive portfolio review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4"/>
        </w:numPr>
        <w:spacing w:after="0" w:before="0" w:line="276" w:lineRule="auto"/>
        <w:ind w:left="57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12+ expert interviews, identifying hyperscaler expansion and digital infrastructure investment as primary drivers of multi-year order book growth in data centre construction to inform portfolio positioning decisions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spacing w:after="0" w:before="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Patent Analyst Intern, KASS International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Kuala Lumpur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Aug 2023 — Sep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ind w:left="57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and maintained a multi-jurisdiction tracking system consolidating examiner office feedback, documentation status, and statutory deadlines, reducing coordination delays across parallel due diligence workstreams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line="276" w:lineRule="auto"/>
        <w:ind w:left="576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Conducted competitive landscape and prior-art analysis across 6+ biotech filings, producing technical requirement summaries that informed freedom-to-operate and prosecution strategy decisions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bottom w:color="auto" w:space="1" w:sz="4" w:val="single"/>
        </w:pBdr>
        <w:spacing w:after="0" w:before="0" w:line="276" w:lineRule="auto"/>
        <w:ind w:left="-11" w:firstLine="0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Extracurriculars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spacing w:after="0" w:before="0" w:line="276" w:lineRule="auto"/>
        <w:ind w:left="0" w:firstLine="0"/>
        <w:rPr>
          <w:rFonts w:ascii="Calibri" w:cs="Calibri" w:eastAsia="Calibri" w:hAnsi="Calibri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1"/>
          <w:szCs w:val="21"/>
          <w:rtl w:val="0"/>
        </w:rPr>
        <w:t xml:space="preserve">Product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Strategy Lead, CO2LLECT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London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Oct 2024 — Jun 2025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ind w:left="576" w:hanging="360"/>
        <w:rPr>
          <w:rFonts w:ascii="Calibri" w:cs="Calibri" w:eastAsia="Calibri" w:hAnsi="Calibri"/>
          <w:color w:val="1e1e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product discovery through 50+ customer interviews to identify workflow pain points and adoption barriers, eliminating two non-viable product directions to prevent early-stage capital misallocation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ind w:left="576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Drafted a concise product requirements document defining user segments and feature scope, providing the R&amp;D team and co-founders with a clear specification for validation and build sequencing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ind w:left="576" w:hanging="360"/>
        <w:rPr>
          <w:rFonts w:ascii="Calibri" w:cs="Calibri" w:eastAsia="Calibri" w:hAnsi="Calibri"/>
          <w:color w:val="1e1e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investor-facing pitch decks incorporating user stories and validation data to demonstrate product-market fit, securing engagement from 5+ prospective investors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1e1e1e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 pricing strategy by benchmarking competitor cost structures, selecting a configuration projected to deliver a 40% gross margin while maintaining a competitive edge against market incumbents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spacing w:after="0" w:before="0" w:line="276" w:lineRule="auto"/>
        <w:ind w:left="0" w:firstLine="0"/>
        <w:rPr>
          <w:rFonts w:ascii="Calibri" w:cs="Calibri" w:eastAsia="Calibri" w:hAnsi="Calibri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1"/>
          <w:szCs w:val="21"/>
          <w:rtl w:val="0"/>
        </w:rPr>
        <w:t xml:space="preserve">Investment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Editorial Lead, Imperial Investment Society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London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Oct 2024 — Jun 2025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line="276" w:lineRule="auto"/>
        <w:ind w:left="576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Managed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a 10-analyst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production pipeline using a publication tracker, coordinating research, review, and release milestones to deliver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30+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articles with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100% on-time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completion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76" w:lineRule="auto"/>
        <w:ind w:left="576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Synthesised regulatory,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technical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and financial market data into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written deliverables for 1,500+ readers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before="0" w:line="276" w:lineRule="auto"/>
        <w:ind w:left="0" w:firstLine="0"/>
        <w:rPr>
          <w:rFonts w:ascii="Calibri" w:cs="Calibri" w:eastAsia="Calibri" w:hAnsi="Calibri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color w:val="000000"/>
          <w:sz w:val="21"/>
          <w:szCs w:val="21"/>
          <w:rtl w:val="0"/>
        </w:rPr>
        <w:t xml:space="preserve">Strategy 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Growth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Lead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color w:val="000000"/>
          <w:sz w:val="21"/>
          <w:szCs w:val="21"/>
          <w:rtl w:val="0"/>
        </w:rPr>
        <w:t xml:space="preserve">, GenCorporate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color w:val="000000"/>
          <w:sz w:val="21"/>
          <w:szCs w:val="21"/>
          <w:rtl w:val="0"/>
        </w:rPr>
        <w:t xml:space="preserve">London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21"/>
          <w:szCs w:val="21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color w:val="000000"/>
          <w:sz w:val="21"/>
          <w:szCs w:val="21"/>
          <w:rtl w:val="0"/>
        </w:rPr>
        <w:t xml:space="preserve">Oct 2023 —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after="0" w:line="276" w:lineRule="auto"/>
        <w:ind w:left="576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Analysed engagement data to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outreach 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trategy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toward high-converting segments,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driving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43%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member growth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spacing w:after="0" w:line="276" w:lineRule="auto"/>
        <w:ind w:left="576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Negotiated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rategic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partnerships with Tier-1 inve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stment and consulting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firms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by pitching platform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’s value proposition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bottom w:color="a6a6a6" w:space="1" w:sz="4" w:val="single"/>
        </w:pBd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Select AI Workflow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ind w:left="57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 tool that converts raw interview transcripts into ranked feature insights, reducing manual qualitative analysis and accelerating product prioritisation decisions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ind w:left="57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 decision-support dashboard that consolidates biotech market, clinical, and growth data into an evaluation framework with persona-specific views, enabling faster prioritisation during diligence and portfolio reviews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ind w:left="57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 workflow tool that parses lab protocols, extracts time-sensitive steps, and generates concurrent labelled timers to reduce manual tracking errors in parallel experimental workflows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bottom w:color="a6a6a6" w:space="1" w:sz="4" w:val="single"/>
        </w:pBdr>
        <w:spacing w:after="0" w:before="0" w:line="276" w:lineRule="auto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after="0" w:before="0" w:line="276" w:lineRule="auto"/>
        <w:ind w:left="0" w:firstLine="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Tech skills: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Microsoft Office Suite,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Automation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Tools, RStudio, Power BI,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Figma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Python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(basic), Lovable, Replit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after="0" w:before="0" w:line="276" w:lineRule="auto"/>
        <w:ind w:left="136" w:right="0" w:hanging="136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Core skills: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Market &amp; competitive research • Problem discovery &amp; solving • Risk assessment • Cross-functional coordination • Due diligence &amp; documentation • Clear &amp; concise communication • Data analysis • Timeline management • Project management • Agile Methodologies • Workflow optimisation • Multi-tasking • Detail-oriented • High-speed execution</w:t>
      </w:r>
    </w:p>
    <w:sectPr>
      <w:pgSz w:h="16838" w:w="11906" w:orient="portrait"/>
      <w:pgMar w:bottom="504" w:top="504" w:left="504" w:right="5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576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3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576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3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576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36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576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36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576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iwaysyya@gmail.com" TargetMode="External"/><Relationship Id="rId7" Type="http://schemas.openxmlformats.org/officeDocument/2006/relationships/hyperlink" Target="https://www.linkedin.com/in/tiwaysyya-s-5440b128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