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Pre-Submission</w:t>
      </w:r>
      <w:r>
        <w:t xml:space="preserve"> </w:t>
      </w:r>
      <w:r>
        <w:t xml:space="preserve">Clarification</w:t>
      </w:r>
      <w:r>
        <w:t xml:space="preserve"> </w:t>
      </w:r>
      <w:r>
        <w:t xml:space="preserve">Questions</w:t>
      </w:r>
    </w:p>
    <w:p>
      <w:pPr>
        <w:pStyle w:val="Heading1"/>
      </w:pPr>
      <w:bookmarkStart w:id="20" w:name="pre-submission-clarification-questions"/>
      <w:r>
        <w:t xml:space="preserve">Pre-Submission Clarification Questions</w:t>
      </w:r>
      <w:bookmarkEnd w:id="20"/>
    </w:p>
    <w:p>
      <w:pPr>
        <w:pStyle w:val="FirstParagraph"/>
      </w:pPr>
      <w:r>
        <w:t xml:space="preserve">Working clarification sheet for the AIPMS and FEVA submissions.</w:t>
      </w:r>
    </w:p>
    <w:p>
      <w:pPr>
        <w:pStyle w:val="Heading2"/>
      </w:pPr>
      <w:bookmarkStart w:id="21" w:name="purpose"/>
      <w:r>
        <w:t xml:space="preserve">Purpose</w:t>
      </w:r>
      <w:bookmarkEnd w:id="21"/>
    </w:p>
    <w:p>
      <w:pPr>
        <w:pStyle w:val="FirstParagraph"/>
      </w:pPr>
      <w:r>
        <w:t xml:space="preserve">This page is intended for sharing before final proposal submission. It captures the open commercial, staffing, delivery, and operational questions that should be resolved so the final bid documents are accurate, defensible, and internally aligned.</w:t>
      </w:r>
    </w:p>
    <w:p>
      <w:pPr>
        <w:pStyle w:val="BodyText"/>
      </w:pPr>
      <w:r>
        <w:t xml:space="preserve">AIPMS</w:t>
      </w:r>
      <w:r>
        <w:t xml:space="preserve"> </w:t>
      </w:r>
      <w:r>
        <w:t xml:space="preserve">FEVA</w:t>
      </w:r>
      <w:r>
        <w:t xml:space="preserve"> </w:t>
      </w:r>
      <w:r>
        <w:t xml:space="preserve">Delivery Planning</w:t>
      </w:r>
      <w:r>
        <w:t xml:space="preserve"> </w:t>
      </w:r>
      <w:r>
        <w:t xml:space="preserve">Commercial Approval</w:t>
      </w:r>
      <w:r>
        <w:t xml:space="preserve"> </w:t>
      </w:r>
      <w:r>
        <w:t xml:space="preserve">Submission Readiness</w:t>
      </w:r>
    </w:p>
    <w:p>
      <w:pPr>
        <w:pStyle w:val="Heading2"/>
      </w:pPr>
      <w:bookmarkStart w:id="22" w:name="key-clarification-questions"/>
      <w:r>
        <w:t xml:space="preserve">Key Clarification Questions</w:t>
      </w:r>
      <w:bookmarkEnd w:id="22"/>
    </w:p>
    <w:p>
      <w:pPr>
        <w:pStyle w:val="FirstParagraph"/>
      </w:pPr>
      <w:r>
        <w:rPr>
          <w:b/>
        </w:rPr>
        <w:t xml:space="preserve">1. Are AIPMS and FEVA expected to run concurrently if both are awarded?</w:t>
      </w:r>
    </w:p>
    <w:p>
      <w:pPr>
        <w:pStyle w:val="BodyText"/>
      </w:pPr>
      <w:r>
        <w:t xml:space="preserve">This affects staffing, delivery credibility, and whether the same named resources can realistically appear in both proposals.</w:t>
      </w:r>
    </w:p>
    <w:p>
      <w:pPr>
        <w:pStyle w:val="BodyText"/>
      </w:pPr>
      <w:r>
        <w:rPr>
          <w:b/>
        </w:rPr>
        <w:t xml:space="preserve">2. Will the projects be delivered primarily from the State, from Abuja, or through a mixed delivery model?</w:t>
      </w:r>
    </w:p>
    <w:p>
      <w:pPr>
        <w:pStyle w:val="BodyText"/>
      </w:pPr>
      <w:r>
        <w:t xml:space="preserve">This affects travel assumptions, support model, field presence, and how strongly local delivery claims should be made.</w:t>
      </w:r>
    </w:p>
    <w:p>
      <w:pPr>
        <w:pStyle w:val="BodyText"/>
      </w:pPr>
      <w:r>
        <w:rPr>
          <w:b/>
        </w:rPr>
        <w:t xml:space="preserve">3. Do we already have a named in-State partner, representative, or delivery contact?</w:t>
      </w:r>
    </w:p>
    <w:p>
      <w:pPr>
        <w:pStyle w:val="BodyText"/>
      </w:pPr>
      <w:r>
        <w:t xml:space="preserve">If yes, that should be reflected carefully in the proposals. If not, we should avoid overstating local operational coverage.</w:t>
      </w:r>
    </w:p>
    <w:p>
      <w:pPr>
        <w:pStyle w:val="BodyText"/>
      </w:pPr>
      <w:r>
        <w:rPr>
          <w:b/>
        </w:rPr>
        <w:t xml:space="preserve">4. Are the same core personnel genuinely available to support both projects over the same period?</w:t>
      </w:r>
    </w:p>
    <w:p>
      <w:pPr>
        <w:pStyle w:val="BodyText"/>
      </w:pPr>
      <w:r>
        <w:t xml:space="preserve">This affects whether shared names across both proposals are credible or whether staffing needs to be differentiated.</w:t>
      </w:r>
    </w:p>
    <w:p>
      <w:pPr>
        <w:pStyle w:val="BodyText"/>
      </w:pPr>
      <w:r>
        <w:rPr>
          <w:b/>
        </w:rPr>
        <w:t xml:space="preserve">5. For AIPMS, who are the final named HR specialist and DevOps / hosting lead?</w:t>
      </w:r>
    </w:p>
    <w:p>
      <w:pPr>
        <w:pStyle w:val="BodyText"/>
      </w:pPr>
      <w:r>
        <w:t xml:space="preserve">Those roles are still open in the proposal and should be closed before submission.</w:t>
      </w:r>
    </w:p>
    <w:p>
      <w:pPr>
        <w:pStyle w:val="BodyText"/>
      </w:pPr>
      <w:r>
        <w:rPr>
          <w:b/>
        </w:rPr>
        <w:t xml:space="preserve">6. For FEVA, who is the final named GIS specialist and who is the named trainer / field enablement lead?</w:t>
      </w:r>
    </w:p>
    <w:p>
      <w:pPr>
        <w:pStyle w:val="BodyText"/>
      </w:pPr>
      <w:r>
        <w:t xml:space="preserve">These roles are important to FEVA scoring and should not remain generic.</w:t>
      </w:r>
    </w:p>
    <w:p>
      <w:pPr>
        <w:pStyle w:val="BodyText"/>
      </w:pPr>
      <w:r>
        <w:rPr>
          <w:b/>
        </w:rPr>
        <w:t xml:space="preserve">7. Do we want to keep the accelerated timelines as currently proposed, or align more conservatively with the RFP maximum timetable?</w:t>
      </w:r>
    </w:p>
    <w:p>
      <w:pPr>
        <w:pStyle w:val="BodyText"/>
      </w:pPr>
      <w:r>
        <w:t xml:space="preserve">Faster timelines can be attractive, but only if the team, assumptions, and dependencies genuinely support them.</w:t>
      </w:r>
    </w:p>
    <w:p>
      <w:pPr>
        <w:pStyle w:val="BodyText"/>
      </w:pPr>
      <w:r>
        <w:rPr>
          <w:b/>
        </w:rPr>
        <w:t xml:space="preserve">8. Are the NGN values in both proposals approved bid prices, or are they still planning estimates?</w:t>
      </w:r>
    </w:p>
    <w:p>
      <w:pPr>
        <w:pStyle w:val="BodyText"/>
      </w:pPr>
      <w:r>
        <w:t xml:space="preserve">This needs to be resolved before submission so the bid does not unintentionally lock us into underpriced delivery.</w:t>
      </w:r>
    </w:p>
    <w:p>
      <w:pPr>
        <w:pStyle w:val="BodyText"/>
      </w:pPr>
      <w:r>
        <w:rPr>
          <w:b/>
        </w:rPr>
        <w:t xml:space="preserve">9. For FEVA, are enumerator devices excluded, included, or intended to be quoted separately if requested?</w:t>
      </w:r>
    </w:p>
    <w:p>
      <w:pPr>
        <w:pStyle w:val="BodyText"/>
      </w:pPr>
      <w:r>
        <w:t xml:space="preserve">The current commercial treatment should be confirmed as a deliberate position.</w:t>
      </w:r>
    </w:p>
    <w:p>
      <w:pPr>
        <w:pStyle w:val="BodyText"/>
      </w:pPr>
      <w:r>
        <w:rPr>
          <w:b/>
        </w:rPr>
        <w:t xml:space="preserve">10. Which three client references are strongest for AIPMS, and which three are strongest for FEVA?</w:t>
      </w:r>
    </w:p>
    <w:p>
      <w:pPr>
        <w:pStyle w:val="BodyText"/>
      </w:pPr>
      <w:r>
        <w:t xml:space="preserve">We should use the best-fit references for each bid rather than reusing generic references across both.</w:t>
      </w:r>
    </w:p>
    <w:p>
      <w:pPr>
        <w:pStyle w:val="BodyText"/>
      </w:pPr>
      <w:r>
        <w:rPr>
          <w:b/>
        </w:rPr>
        <w:t xml:space="preserve">11. Do we have all required legal and statutory documents ready in final form?</w:t>
      </w:r>
    </w:p>
    <w:p>
      <w:pPr>
        <w:pStyle w:val="BodyText"/>
      </w:pPr>
      <w:r>
        <w:t xml:space="preserve">This includes CAC certificate, tax clearance, declarations, and any other compliance documents needed for submission.</w:t>
      </w:r>
    </w:p>
    <w:p>
      <w:pPr>
        <w:pStyle w:val="BodyText"/>
      </w:pPr>
      <w:r>
        <w:rPr>
          <w:b/>
        </w:rPr>
        <w:t xml:space="preserve">12. Should we add a short assumptions section to each final proposal?</w:t>
      </w:r>
    </w:p>
    <w:p>
      <w:pPr>
        <w:pStyle w:val="BodyText"/>
      </w:pPr>
      <w:r>
        <w:t xml:space="preserve">This would help protect the delivery position where timelines depend on data availability, approvals, shapefiles, stakeholder access, or repo/environment access.</w:t>
      </w:r>
    </w:p>
    <w:p>
      <w:pPr>
        <w:pStyle w:val="BodyText"/>
      </w:pPr>
      <w:r>
        <w:rPr>
          <w:b/>
        </w:rPr>
        <w:t xml:space="preserve">13. For FEVA, are we comfortable explicitly stating performance targets such as concurrency, offline capacity, sync expectations, and device performance?</w:t>
      </w:r>
    </w:p>
    <w:p>
      <w:pPr>
        <w:pStyle w:val="BodyText"/>
      </w:pPr>
      <w:r>
        <w:t xml:space="preserve">If yes, we should add them clearly. If not, we should decide how to frame those requirements more carefully.</w:t>
      </w:r>
    </w:p>
    <w:p>
      <w:pPr>
        <w:pStyle w:val="BodyText"/>
      </w:pPr>
      <w:r>
        <w:rPr>
          <w:b/>
        </w:rPr>
        <w:t xml:space="preserve">14. Who will own final sign-off on the technical narrative, commercials, and submission pack?</w:t>
      </w:r>
    </w:p>
    <w:p>
      <w:pPr>
        <w:pStyle w:val="BodyText"/>
      </w:pPr>
      <w:r>
        <w:t xml:space="preserve">We should be clear on who signs off content, who signs off pricing, and who owns final submission readiness.</w:t>
      </w:r>
    </w:p>
    <w:p>
      <w:pPr>
        <w:pStyle w:val="Heading2"/>
      </w:pPr>
      <w:bookmarkStart w:id="23" w:name="suggested-short-internal-prompts"/>
      <w:r>
        <w:t xml:space="preserve">Suggested Short Internal Prompts</w:t>
      </w:r>
      <w:bookmarkEnd w:id="23"/>
    </w:p>
    <w:p>
      <w:pPr>
        <w:numPr>
          <w:ilvl w:val="0"/>
          <w:numId w:val="1001"/>
        </w:numPr>
        <w:pStyle w:val="Compact"/>
      </w:pPr>
      <w:r>
        <w:t xml:space="preserve">“If both projects land, what exact delivery team do we have from Week 1 to Week 8?”</w:t>
      </w:r>
    </w:p>
    <w:p>
      <w:pPr>
        <w:numPr>
          <w:ilvl w:val="0"/>
          <w:numId w:val="1001"/>
        </w:numPr>
        <w:pStyle w:val="Compact"/>
      </w:pPr>
      <w:r>
        <w:t xml:space="preserve">“Are we pricing for Abuja-based execution only, or for sustained in-State presence?”</w:t>
      </w:r>
    </w:p>
    <w:p>
      <w:pPr>
        <w:numPr>
          <w:ilvl w:val="0"/>
          <w:numId w:val="1001"/>
        </w:numPr>
        <w:pStyle w:val="Compact"/>
      </w:pPr>
      <w:r>
        <w:t xml:space="preserve">“Which figures are approved and which are still draft assumptions?”</w:t>
      </w:r>
    </w:p>
    <w:p>
      <w:pPr>
        <w:numPr>
          <w:ilvl w:val="0"/>
          <w:numId w:val="1001"/>
        </w:numPr>
        <w:pStyle w:val="Compact"/>
      </w:pPr>
      <w:r>
        <w:t xml:space="preserve">“Which references best prove government, GIS, fieldwork, and ERP programme-control experience?”</w:t>
      </w:r>
    </w:p>
    <w:p>
      <w:pPr>
        <w:numPr>
          <w:ilvl w:val="0"/>
          <w:numId w:val="1001"/>
        </w:numPr>
        <w:pStyle w:val="Compact"/>
      </w:pPr>
      <w:r>
        <w:t xml:space="preserve">“Who owns final approval of staffing, pricing, and legal attachments?”</w:t>
      </w:r>
    </w:p>
    <w:p>
      <w:pPr>
        <w:pStyle w:val="FirstParagraph"/>
      </w:pPr>
      <w:r>
        <w:t xml:space="preserve">This page is intended for internal clarification and alignment before proposal submission.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Pre-Submission Clarification Questions</dc:title>
  <dc:creator/>
  <dc:language>en</dc:language>
  <cp:keywords/>
  <dcterms:created xsi:type="dcterms:W3CDTF">2026-03-13T18:21:01Z</dcterms:created>
  <dcterms:modified xsi:type="dcterms:W3CDTF">2026-03-13T18:21:01Z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