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Proposal</w:t>
      </w:r>
      <w:r>
        <w:t xml:space="preserve"> </w:t>
      </w:r>
      <w:r>
        <w:t xml:space="preserve">Pricing</w:t>
      </w:r>
      <w:r>
        <w:t xml:space="preserve"> </w:t>
      </w:r>
      <w:r>
        <w:t xml:space="preserve">Reference</w:t>
      </w:r>
      <w:r>
        <w:t xml:space="preserve"> </w:t>
      </w:r>
      <w:r>
        <w:t xml:space="preserve">-</w:t>
      </w:r>
      <w:r>
        <w:t xml:space="preserve"> </w:t>
      </w:r>
      <w:r>
        <w:t xml:space="preserve">AIPMS</w:t>
      </w:r>
      <w:r>
        <w:t xml:space="preserve"> </w:t>
      </w:r>
      <w:r>
        <w:t xml:space="preserve">and</w:t>
      </w:r>
      <w:r>
        <w:t xml:space="preserve"> </w:t>
      </w:r>
      <w:r>
        <w:t xml:space="preserve">FEVA</w:t>
      </w:r>
    </w:p>
    <w:p>
      <w:pPr>
        <w:pStyle w:val="Heading1"/>
      </w:pPr>
      <w:bookmarkStart w:id="20" w:name="proposal-pricing-reference"/>
      <w:r>
        <w:t xml:space="preserve">Proposal Pricing Reference</w:t>
      </w:r>
      <w:bookmarkEnd w:id="20"/>
    </w:p>
    <w:p>
      <w:pPr>
        <w:pStyle w:val="FirstParagraph"/>
      </w:pPr>
      <w:r>
        <w:t xml:space="preserve">Combined pricing sheet for AIPMS and FEVA. Intended as an editable working document before prices are finalized in the proposal files.</w:t>
      </w:r>
    </w:p>
    <w:p>
      <w:pPr>
        <w:pStyle w:val="Heading2"/>
      </w:pPr>
      <w:bookmarkStart w:id="21" w:name="working-note"/>
      <w:r>
        <w:t xml:space="preserve">Working Note</w:t>
      </w:r>
      <w:bookmarkEnd w:id="21"/>
    </w:p>
    <w:p>
      <w:pPr>
        <w:pStyle w:val="FirstParagraph"/>
      </w:pPr>
      <w:r>
        <w:t xml:space="preserve">All amounts below are draft NGN figures extracted from the current AIPMS and FEVA HTML proposals. Older Word documents in the workspace were used only as guides and are not the commercial source for these figures.</w:t>
      </w:r>
    </w:p>
    <w:p>
      <w:pPr>
        <w:pStyle w:val="BodyText"/>
      </w:pPr>
      <w:hyperlink r:id="rId22">
        <w:r>
          <w:rPr>
            <w:rStyle w:val="Hyperlink"/>
          </w:rPr>
          <w:t xml:space="preserve">Open Combined Word Version (.docx)</w:t>
        </w:r>
      </w:hyperlink>
      <w:r>
        <w:t xml:space="preserve"> </w:t>
      </w:r>
      <w:hyperlink r:id="rId23">
        <w:r>
          <w:rPr>
            <w:rStyle w:val="Hyperlink"/>
          </w:rPr>
          <w:t xml:space="preserve">Open AIPMS Pricing Page</w:t>
        </w:r>
      </w:hyperlink>
      <w:r>
        <w:t xml:space="preserve"> </w:t>
      </w:r>
      <w:hyperlink r:id="rId24">
        <w:r>
          <w:rPr>
            <w:rStyle w:val="Hyperlink"/>
          </w:rPr>
          <w:t xml:space="preserve">Open FEVA Pricing Page</w:t>
        </w:r>
      </w:hyperlink>
    </w:p>
    <w:p>
      <w:pPr>
        <w:pStyle w:val="BodyText"/>
      </w:pPr>
      <w:r>
        <w:rPr>
          <w:b/>
        </w:rPr>
        <w:t xml:space="preserve">Working FX basis:</w:t>
      </w:r>
      <w:r>
        <w:t xml:space="preserve"> </w:t>
      </w:r>
      <w:r>
        <w:t xml:space="preserve">₦1,400 per US$1</w:t>
      </w:r>
    </w:p>
    <w:p>
      <w:pPr>
        <w:pStyle w:val="BodyText"/>
      </w:pPr>
      <w:r>
        <w:t xml:space="preserve">Update this if the commercial team wants a different planning rate or if final prices are approved independently of FX assumptions.</w:t>
      </w:r>
    </w:p>
    <w:p>
      <w:pPr>
        <w:pStyle w:val="Heading2"/>
      </w:pPr>
      <w:bookmarkStart w:id="25" w:name="aipms-pricing"/>
      <w:r>
        <w:t xml:space="preserve">AIPMS Pricing</w:t>
      </w:r>
      <w:bookmarkEnd w:id="25"/>
    </w:p>
    <w:p>
      <w:pPr>
        <w:pStyle w:val="Heading3"/>
      </w:pPr>
      <w:bookmarkStart w:id="26" w:name="fixed-price-delivery-breakdown"/>
      <w:r>
        <w:t xml:space="preserve">Fixed-Price Delivery Breakdown</w:t>
      </w:r>
      <w:bookmarkEnd w:id="26"/>
    </w:p>
    <w:p>
      <w:pPr>
        <w:pStyle w:val="FirstParagraph"/>
      </w:pPr>
      <w:r>
        <w:t xml:space="preserve">Phase / Scope</w:t>
      </w:r>
    </w:p>
    <w:p>
      <w:pPr>
        <w:pStyle w:val="BodyText"/>
      </w:pPr>
      <w:r>
        <w:t xml:space="preserve">Description</w:t>
      </w:r>
    </w:p>
    <w:p>
      <w:pPr>
        <w:pStyle w:val="BodyText"/>
      </w:pPr>
      <w:r>
        <w:t xml:space="preserve">Price (₦)</w:t>
      </w:r>
    </w:p>
    <w:p>
      <w:pPr>
        <w:pStyle w:val="BodyText"/>
      </w:pPr>
      <w:r>
        <w:t xml:space="preserve">P0 Mobilisation</w:t>
      </w:r>
    </w:p>
    <w:p>
      <w:pPr>
        <w:pStyle w:val="BodyText"/>
      </w:pPr>
      <w:r>
        <w:t xml:space="preserve">Hosting setup, parameter workshops, role setup, configuration planning</w:t>
      </w:r>
    </w:p>
    <w:p>
      <w:pPr>
        <w:pStyle w:val="BodyText"/>
      </w:pPr>
      <w:r>
        <w:t xml:space="preserve">₦8,400,000</w:t>
      </w:r>
    </w:p>
    <w:p>
      <w:pPr>
        <w:pStyle w:val="BodyText"/>
      </w:pPr>
      <w:r>
        <w:t xml:space="preserve">P1 Lite Version</w:t>
      </w:r>
    </w:p>
    <w:p>
      <w:pPr>
        <w:pStyle w:val="BodyText"/>
      </w:pPr>
      <w:r>
        <w:t xml:space="preserve">Modules 1-5 core functionality, workflows, templates, and initial training</w:t>
      </w:r>
    </w:p>
    <w:p>
      <w:pPr>
        <w:pStyle w:val="BodyText"/>
      </w:pPr>
      <w:r>
        <w:t xml:space="preserve">₦25,200,000</w:t>
      </w:r>
    </w:p>
    <w:p>
      <w:pPr>
        <w:pStyle w:val="BodyText"/>
      </w:pPr>
      <w:r>
        <w:t xml:space="preserve">P2 Full Configuration</w:t>
      </w:r>
    </w:p>
    <w:p>
      <w:pPr>
        <w:pStyle w:val="BodyText"/>
      </w:pPr>
      <w:r>
        <w:t xml:space="preserve">Modules 3, 6, and 7 completion, FDT CSV integration, dashboards, HR/payroll, exports</w:t>
      </w:r>
    </w:p>
    <w:p>
      <w:pPr>
        <w:pStyle w:val="BodyText"/>
      </w:pPr>
      <w:r>
        <w:t xml:space="preserve">₦33,600,000</w:t>
      </w:r>
    </w:p>
    <w:p>
      <w:pPr>
        <w:pStyle w:val="BodyText"/>
      </w:pPr>
      <w:r>
        <w:t xml:space="preserve">P3 Full Go-Live</w:t>
      </w:r>
    </w:p>
    <w:p>
      <w:pPr>
        <w:pStyle w:val="BodyText"/>
      </w:pPr>
      <w:r>
        <w:t xml:space="preserve">UAT support, go-live execution, training completion, production cutover support</w:t>
      </w:r>
    </w:p>
    <w:p>
      <w:pPr>
        <w:pStyle w:val="BodyText"/>
      </w:pPr>
      <w:r>
        <w:t xml:space="preserve">₦12,600,000</w:t>
      </w:r>
    </w:p>
    <w:p>
      <w:pPr>
        <w:pStyle w:val="BodyText"/>
      </w:pPr>
      <w:r>
        <w:t xml:space="preserve">P4 Handover</w:t>
      </w:r>
    </w:p>
    <w:p>
      <w:pPr>
        <w:pStyle w:val="BodyText"/>
      </w:pPr>
      <w:r>
        <w:t xml:space="preserve">Documentation, knowledge transfer, final acceptance support</w:t>
      </w:r>
    </w:p>
    <w:p>
      <w:pPr>
        <w:pStyle w:val="BodyText"/>
      </w:pPr>
      <w:r>
        <w:t xml:space="preserve">₦4,200,000</w:t>
      </w:r>
    </w:p>
    <w:p>
      <w:pPr>
        <w:pStyle w:val="BodyText"/>
      </w:pPr>
      <w:r>
        <w:t xml:space="preserve">Total Fixed Delivery Fee</w:t>
      </w:r>
    </w:p>
    <w:p>
      <w:pPr>
        <w:pStyle w:val="BodyText"/>
      </w:pPr>
      <w:r>
        <w:t xml:space="preserve">₦84,000,000</w:t>
      </w:r>
    </w:p>
    <w:p>
      <w:pPr>
        <w:pStyle w:val="Heading3"/>
      </w:pPr>
      <w:bookmarkStart w:id="27" w:name="X6c55bc4b5ea56303eb39d207d5ce39c66b9c4b0"/>
      <w:r>
        <w:t xml:space="preserve">Hosting, Support, and 3-Year Cost Structure</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Monthly Fee (₦)</w:t>
            </w:r>
          </w:p>
        </w:tc>
        <w:tc>
          <w:tcPr>
            <w:tcBorders>
              <w:bottom w:val="single"/>
            </w:tcBorders>
            <w:vAlign w:val="bottom"/>
          </w:tcPr>
          <w:p>
            <w:pPr>
              <w:pStyle w:val="Compact"/>
              <w:jc w:val="left"/>
            </w:pPr>
            <w:r>
              <w:t xml:space="preserve">Annual Fee (₦)</w:t>
            </w:r>
          </w:p>
        </w:tc>
      </w:tr>
      <w:tr>
        <w:tc>
          <w:p>
            <w:pPr>
              <w:pStyle w:val="Compact"/>
              <w:jc w:val="left"/>
            </w:pPr>
            <w:r>
              <w:t xml:space="preserve">Hosting</w:t>
            </w:r>
          </w:p>
        </w:tc>
        <w:tc>
          <w:p>
            <w:pPr>
              <w:pStyle w:val="Compact"/>
              <w:jc w:val="left"/>
            </w:pPr>
            <w:r>
              <w:t xml:space="preserve">Production hosting, backups, monitoring, and maintenance window management</w:t>
            </w:r>
          </w:p>
        </w:tc>
        <w:tc>
          <w:p>
            <w:pPr>
              <w:pStyle w:val="Compact"/>
              <w:jc w:val="left"/>
            </w:pPr>
            <w:r>
              <w:t xml:space="preserve">₦1,400,000</w:t>
            </w:r>
          </w:p>
        </w:tc>
        <w:tc>
          <w:p>
            <w:pPr>
              <w:pStyle w:val="Compact"/>
              <w:jc w:val="left"/>
            </w:pPr>
            <w:r>
              <w:t xml:space="preserve">₦16,800,000</w:t>
            </w:r>
          </w:p>
        </w:tc>
      </w:tr>
      <w:tr>
        <w:tc>
          <w:p>
            <w:pPr>
              <w:pStyle w:val="Compact"/>
              <w:jc w:val="left"/>
            </w:pPr>
            <w:r>
              <w:t xml:space="preserve">Year 1 Support Retainer</w:t>
            </w:r>
          </w:p>
        </w:tc>
        <w:tc>
          <w:p>
            <w:pPr>
              <w:pStyle w:val="Compact"/>
              <w:jc w:val="left"/>
            </w:pPr>
            <w:r>
              <w:t xml:space="preserve">Bug fixes, security patches, SLA support, and agreed monthly enhancement hours</w:t>
            </w:r>
          </w:p>
        </w:tc>
        <w:tc>
          <w:p>
            <w:pPr>
              <w:pStyle w:val="Compact"/>
              <w:jc w:val="left"/>
            </w:pPr>
            <w:r>
              <w:t xml:space="preserve">₦3,500,000</w:t>
            </w:r>
          </w:p>
        </w:tc>
        <w:tc>
          <w:p>
            <w:pPr>
              <w:pStyle w:val="Compact"/>
              <w:jc w:val="left"/>
            </w:pPr>
            <w:r>
              <w:t xml:space="preserve">₦42,000,000</w:t>
            </w:r>
          </w:p>
        </w:tc>
      </w:tr>
      <w:tr>
        <w:tc>
          <w:p>
            <w:pPr>
              <w:pStyle w:val="Compact"/>
              <w:jc w:val="left"/>
            </w:pPr>
            <w:r>
              <w:t xml:space="preserve">Year 2 Support Option</w:t>
            </w:r>
          </w:p>
        </w:tc>
        <w:tc>
          <w:p>
            <w:pPr>
              <w:pStyle w:val="Compact"/>
              <w:jc w:val="left"/>
            </w:pPr>
            <w:r>
              <w:t xml:space="preserve">Indicative renewal pricing</w:t>
            </w:r>
          </w:p>
        </w:tc>
        <w:tc>
          <w:p>
            <w:pPr>
              <w:pStyle w:val="Compact"/>
              <w:jc w:val="left"/>
            </w:pPr>
            <w:r>
              <w:t xml:space="preserve">₦3,150,000</w:t>
            </w:r>
          </w:p>
        </w:tc>
        <w:tc>
          <w:p>
            <w:pPr>
              <w:pStyle w:val="Compact"/>
              <w:jc w:val="left"/>
            </w:pPr>
            <w:r>
              <w:t xml:space="preserve">₦37,800,000</w:t>
            </w:r>
          </w:p>
        </w:tc>
      </w:tr>
      <w:tr>
        <w:tc>
          <w:p>
            <w:pPr>
              <w:pStyle w:val="Compact"/>
              <w:jc w:val="left"/>
            </w:pPr>
            <w:r>
              <w:t xml:space="preserve">Year 3 Support Option</w:t>
            </w:r>
          </w:p>
        </w:tc>
        <w:tc>
          <w:p>
            <w:pPr>
              <w:pStyle w:val="Compact"/>
              <w:jc w:val="left"/>
            </w:pPr>
            <w:r>
              <w:t xml:space="preserve">Indicative renewal pricing</w:t>
            </w:r>
          </w:p>
        </w:tc>
        <w:tc>
          <w:p>
            <w:pPr>
              <w:pStyle w:val="Compact"/>
              <w:jc w:val="left"/>
            </w:pPr>
            <w:r>
              <w:t xml:space="preserve">₦2,940,000</w:t>
            </w:r>
          </w:p>
        </w:tc>
        <w:tc>
          <w:p>
            <w:pPr>
              <w:pStyle w:val="Compact"/>
              <w:jc w:val="left"/>
            </w:pPr>
            <w:r>
              <w:t xml:space="preserve">₦35,280,000</w:t>
            </w:r>
          </w:p>
        </w:tc>
      </w:tr>
    </w:tbl>
    <w:p>
      <w:pPr>
        <w:pStyle w:val="Heading3"/>
      </w:pPr>
      <w:bookmarkStart w:id="28" w:name="training-and-optional-enhancements"/>
      <w:r>
        <w:t xml:space="preserve">Training and Optional Enhancements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Price (₦)</w:t>
            </w:r>
          </w:p>
        </w:tc>
      </w:tr>
      <w:tr>
        <w:tc>
          <w:p>
            <w:pPr>
              <w:pStyle w:val="Compact"/>
              <w:jc w:val="left"/>
            </w:pPr>
            <w:r>
              <w:t xml:space="preserve">Training</w:t>
            </w:r>
          </w:p>
        </w:tc>
        <w:tc>
          <w:p>
            <w:pPr>
              <w:pStyle w:val="Compact"/>
              <w:jc w:val="left"/>
            </w:pPr>
            <w:r>
              <w:t xml:space="preserve">Tier 1-7 training programme, user guides, and recorded walkthroughs</w:t>
            </w:r>
          </w:p>
        </w:tc>
        <w:tc>
          <w:p>
            <w:pPr>
              <w:pStyle w:val="Compact"/>
              <w:jc w:val="left"/>
            </w:pPr>
            <w:r>
              <w:t xml:space="preserve">Included in fixed delivery fee</w:t>
            </w:r>
          </w:p>
        </w:tc>
      </w:tr>
      <w:tr>
        <w:tc>
          <w:p>
            <w:pPr>
              <w:pStyle w:val="Compact"/>
              <w:jc w:val="left"/>
            </w:pPr>
            <w:r>
              <w:t xml:space="preserve">Phase 2 API Integration</w:t>
            </w:r>
          </w:p>
        </w:tc>
        <w:tc>
          <w:p>
            <w:pPr>
              <w:pStyle w:val="Compact"/>
              <w:jc w:val="left"/>
            </w:pPr>
            <w:r>
              <w:t xml:space="preserve">Scheduled/API-based FDT integration beyond mandatory CSV import</w:t>
            </w:r>
          </w:p>
        </w:tc>
        <w:tc>
          <w:p>
            <w:pPr>
              <w:pStyle w:val="Compact"/>
              <w:jc w:val="left"/>
            </w:pPr>
            <w:r>
              <w:t xml:space="preserve">₦11,200,000</w:t>
            </w:r>
          </w:p>
        </w:tc>
      </w:tr>
      <w:tr>
        <w:tc>
          <w:p>
            <w:pPr>
              <w:pStyle w:val="Compact"/>
              <w:jc w:val="left"/>
            </w:pPr>
            <w:r>
              <w:t xml:space="preserve">Mobile HR Check-In</w:t>
            </w:r>
          </w:p>
        </w:tc>
        <w:tc>
          <w:p>
            <w:pPr>
              <w:pStyle w:val="Compact"/>
              <w:jc w:val="left"/>
            </w:pPr>
            <w:r>
              <w:t xml:space="preserve">Enhanced field check-in workflow with device/location controls</w:t>
            </w:r>
          </w:p>
        </w:tc>
        <w:tc>
          <w:p>
            <w:pPr>
              <w:pStyle w:val="Compact"/>
              <w:jc w:val="left"/>
            </w:pPr>
            <w:r>
              <w:t xml:space="preserve">₦8,400,000</w:t>
            </w:r>
          </w:p>
        </w:tc>
      </w:tr>
      <w:tr>
        <w:tc>
          <w:p>
            <w:pPr>
              <w:pStyle w:val="Compact"/>
              <w:jc w:val="left"/>
            </w:pPr>
            <w:r>
              <w:t xml:space="preserve">Advanced Gantt / Portfolio View</w:t>
            </w:r>
          </w:p>
        </w:tc>
        <w:tc>
          <w:p>
            <w:pPr>
              <w:pStyle w:val="Compact"/>
              <w:jc w:val="left"/>
            </w:pPr>
            <w:r>
              <w:t xml:space="preserve">Enhanced programme schedule visualisation</w:t>
            </w:r>
          </w:p>
        </w:tc>
        <w:tc>
          <w:p>
            <w:pPr>
              <w:pStyle w:val="Compact"/>
              <w:jc w:val="left"/>
            </w:pPr>
            <w:r>
              <w:t xml:space="preserve">₦5,600,000</w:t>
            </w:r>
          </w:p>
        </w:tc>
      </w:tr>
    </w:tbl>
    <w:p>
      <w:pPr>
        <w:pStyle w:val="BodyText"/>
      </w:pPr>
      <w:r>
        <w:rPr>
          <w:b/>
        </w:rPr>
        <w:t xml:space="preserve">Total 3-Year Cost of Ownership:</w:t>
      </w:r>
      <w:r>
        <w:t xml:space="preserve"> </w:t>
      </w:r>
      <w:r>
        <w:t xml:space="preserve">₦215,880,000</w:t>
      </w:r>
    </w:p>
    <w:p>
      <w:pPr>
        <w:pStyle w:val="BodyText"/>
      </w:pPr>
      <w:r>
        <w:rPr>
          <w:b/>
        </w:rPr>
        <w:t xml:space="preserve">Price validity:</w:t>
      </w:r>
      <w:r>
        <w:t xml:space="preserve"> </w:t>
      </w:r>
      <w:r>
        <w:t xml:space="preserve">Minimum 90 days from proposal submission date.</w:t>
      </w:r>
    </w:p>
    <w:p>
      <w:pPr>
        <w:pStyle w:val="Heading3"/>
      </w:pPr>
      <w:bookmarkStart w:id="29" w:name="proposed-payment-terms"/>
      <w:r>
        <w:t xml:space="preserve">Proposed Payment Terms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 of Delivery Fee</w:t>
            </w:r>
          </w:p>
        </w:tc>
      </w:tr>
      <w:tr>
        <w:tc>
          <w:p>
            <w:pPr>
              <w:pStyle w:val="Compact"/>
              <w:jc w:val="left"/>
            </w:pPr>
            <w:r>
              <w:t xml:space="preserve">P0 Mobilisation</w:t>
            </w:r>
          </w:p>
        </w:tc>
        <w:tc>
          <w:p>
            <w:pPr>
              <w:pStyle w:val="Compact"/>
              <w:jc w:val="left"/>
            </w:pPr>
            <w:r>
              <w:t xml:space="preserve">Contract execution and mobilisation completion</w:t>
            </w:r>
          </w:p>
        </w:tc>
        <w:tc>
          <w:p>
            <w:pPr>
              <w:pStyle w:val="Compact"/>
              <w:jc w:val="left"/>
            </w:pPr>
            <w:r>
              <w:t xml:space="preserve">10%</w:t>
            </w:r>
          </w:p>
        </w:tc>
      </w:tr>
      <w:tr>
        <w:tc>
          <w:p>
            <w:pPr>
              <w:pStyle w:val="Compact"/>
              <w:jc w:val="left"/>
            </w:pPr>
            <w:r>
              <w:t xml:space="preserve">P1 Lite Version Acceptance</w:t>
            </w:r>
          </w:p>
        </w:tc>
        <w:tc>
          <w:p>
            <w:pPr>
              <w:pStyle w:val="Compact"/>
              <w:jc w:val="left"/>
            </w:pPr>
            <w:r>
              <w:t xml:space="preserve">Written sign-off for Modules 1-5 core readiness</w:t>
            </w:r>
          </w:p>
        </w:tc>
        <w:tc>
          <w:p>
            <w:pPr>
              <w:pStyle w:val="Compact"/>
              <w:jc w:val="left"/>
            </w:pPr>
            <w:r>
              <w:t xml:space="preserve">25%</w:t>
            </w:r>
          </w:p>
        </w:tc>
      </w:tr>
      <w:tr>
        <w:tc>
          <w:p>
            <w:pPr>
              <w:pStyle w:val="Compact"/>
              <w:jc w:val="left"/>
            </w:pPr>
            <w:r>
              <w:t xml:space="preserve">P2 Full Configuration Acceptance</w:t>
            </w:r>
          </w:p>
        </w:tc>
        <w:tc>
          <w:p>
            <w:pPr>
              <w:pStyle w:val="Compact"/>
              <w:jc w:val="left"/>
            </w:pPr>
            <w:r>
              <w:t xml:space="preserve">Configured Modules 6 and 7, FDT integration, and UAT readiness</w:t>
            </w:r>
          </w:p>
        </w:tc>
        <w:tc>
          <w:p>
            <w:pPr>
              <w:pStyle w:val="Compact"/>
              <w:jc w:val="left"/>
            </w:pPr>
            <w:r>
              <w:t xml:space="preserve">35%</w:t>
            </w:r>
          </w:p>
        </w:tc>
      </w:tr>
      <w:tr>
        <w:tc>
          <w:p>
            <w:pPr>
              <w:pStyle w:val="Compact"/>
              <w:jc w:val="left"/>
            </w:pPr>
            <w:r>
              <w:t xml:space="preserve">P3 Full Go-Live</w:t>
            </w:r>
          </w:p>
        </w:tc>
        <w:tc>
          <w:p>
            <w:pPr>
              <w:pStyle w:val="Compact"/>
              <w:jc w:val="left"/>
            </w:pPr>
            <w:r>
              <w:t xml:space="preserve">Production go-live and completion of operational readiness activities</w:t>
            </w:r>
          </w:p>
        </w:tc>
        <w:tc>
          <w:p>
            <w:pPr>
              <w:pStyle w:val="Compact"/>
              <w:jc w:val="left"/>
            </w:pPr>
            <w:r>
              <w:t xml:space="preserve">20%</w:t>
            </w:r>
          </w:p>
        </w:tc>
      </w:tr>
      <w:tr>
        <w:tc>
          <w:p>
            <w:pPr>
              <w:pStyle w:val="Compact"/>
              <w:jc w:val="left"/>
            </w:pPr>
            <w:r>
              <w:t xml:space="preserve">P4 Final Handover</w:t>
            </w:r>
          </w:p>
        </w:tc>
        <w:tc>
          <w:p>
            <w:pPr>
              <w:pStyle w:val="Compact"/>
              <w:jc w:val="left"/>
            </w:pPr>
            <w:r>
              <w:t xml:space="preserve">Documentation, handover, and close-out acceptance</w:t>
            </w:r>
          </w:p>
        </w:tc>
        <w:tc>
          <w:p>
            <w:pPr>
              <w:pStyle w:val="Compact"/>
              <w:jc w:val="left"/>
            </w:pPr>
            <w:r>
              <w:t xml:space="preserve">10%</w:t>
            </w:r>
          </w:p>
        </w:tc>
      </w:tr>
    </w:tbl>
    <w:p>
      <w:pPr>
        <w:pStyle w:val="Heading2"/>
      </w:pPr>
      <w:bookmarkStart w:id="30" w:name="feva-pricing"/>
      <w:r>
        <w:t xml:space="preserve">FEVA Pricing</w:t>
      </w:r>
      <w:bookmarkEnd w:id="30"/>
    </w:p>
    <w:p>
      <w:pPr>
        <w:pStyle w:val="Heading3"/>
      </w:pPr>
      <w:bookmarkStart w:id="31" w:name="commercial-breakdown"/>
      <w:r>
        <w:t xml:space="preserve">Commercial Breakdown</w:t>
      </w:r>
      <w:bookmarkEnd w:id="31"/>
    </w:p>
    <w:p>
      <w:pPr>
        <w:pStyle w:val="FirstParagraph"/>
      </w:pPr>
      <w:r>
        <w:t xml:space="preserve">Cost Item</w:t>
      </w:r>
    </w:p>
    <w:p>
      <w:pPr>
        <w:pStyle w:val="BodyText"/>
      </w:pPr>
      <w:r>
        <w:t xml:space="preserve">Note</w:t>
      </w:r>
    </w:p>
    <w:p>
      <w:pPr>
        <w:pStyle w:val="BodyText"/>
      </w:pPr>
      <w:r>
        <w:t xml:space="preserve">Estimated Cost (₦)</w:t>
      </w:r>
    </w:p>
    <w:p>
      <w:pPr>
        <w:pStyle w:val="BodyText"/>
      </w:pPr>
      <w:r>
        <w:t xml:space="preserve">1. Application Development</w:t>
      </w:r>
    </w:p>
    <w:p>
      <w:pPr>
        <w:pStyle w:val="BodyText"/>
      </w:pPr>
      <w:r>
        <w:t xml:space="preserve">Flutter mobile app, backend APIs, offline sync, GPS/photo capture, shapefile and GIS integration modules</w:t>
      </w:r>
    </w:p>
    <w:p>
      <w:pPr>
        <w:pStyle w:val="BodyText"/>
      </w:pPr>
      <w:r>
        <w:t xml:space="preserve">₦49,000,000</w:t>
      </w:r>
    </w:p>
    <w:p>
      <w:pPr>
        <w:pStyle w:val="BodyText"/>
      </w:pPr>
      <w:r>
        <w:t xml:space="preserve">2. Configuration and Integration</w:t>
      </w:r>
    </w:p>
    <w:p>
      <w:pPr>
        <w:pStyle w:val="BodyText"/>
      </w:pPr>
      <w:r>
        <w:t xml:space="preserve">IGSL repository onboarding, CI alignment, environment configuration, and GIS/backend integration setup</w:t>
      </w:r>
    </w:p>
    <w:p>
      <w:pPr>
        <w:pStyle w:val="BodyText"/>
      </w:pPr>
      <w:r>
        <w:t xml:space="preserve">₦7,000,000</w:t>
      </w:r>
    </w:p>
    <w:p>
      <w:pPr>
        <w:pStyle w:val="BodyText"/>
      </w:pPr>
      <w:r>
        <w:t xml:space="preserve">3. Training Programme</w:t>
      </w:r>
    </w:p>
    <w:p>
      <w:pPr>
        <w:pStyle w:val="BodyText"/>
      </w:pPr>
      <w:r>
        <w:t xml:space="preserve">Enumerator and supervisor training, materials, and pilot support</w:t>
      </w:r>
    </w:p>
    <w:p>
      <w:pPr>
        <w:pStyle w:val="BodyText"/>
      </w:pPr>
      <w:r>
        <w:t xml:space="preserve">₦4,200,000</w:t>
      </w:r>
    </w:p>
    <w:p>
      <w:pPr>
        <w:pStyle w:val="BodyText"/>
      </w:pPr>
      <w:r>
        <w:t xml:space="preserve">4. Project Management and QA</w:t>
      </w:r>
    </w:p>
    <w:p>
      <w:pPr>
        <w:pStyle w:val="BodyText"/>
      </w:pPr>
      <w:r>
        <w:t xml:space="preserve">Project governance, testing, UAT support, pilot management, and reporting</w:t>
      </w:r>
    </w:p>
    <w:p>
      <w:pPr>
        <w:pStyle w:val="BodyText"/>
      </w:pPr>
      <w:r>
        <w:t xml:space="preserve">₦9,800,000</w:t>
      </w:r>
    </w:p>
    <w:p>
      <w:pPr>
        <w:pStyle w:val="BodyText"/>
      </w:pPr>
      <w:r>
        <w:t xml:space="preserve">5. Helpdesk / Support (per month)</w:t>
      </w:r>
    </w:p>
    <w:p>
      <w:pPr>
        <w:pStyle w:val="BodyText"/>
      </w:pPr>
      <w:r>
        <w:t xml:space="preserve">Enumeration-phase support; estimated total over 8 months: ₦16,800,000</w:t>
      </w:r>
    </w:p>
    <w:p>
      <w:pPr>
        <w:pStyle w:val="BodyText"/>
      </w:pPr>
      <w:r>
        <w:t xml:space="preserve">₦2,100,000</w:t>
      </w:r>
    </w:p>
    <w:p>
      <w:pPr>
        <w:pStyle w:val="BodyText"/>
      </w:pPr>
      <w:r>
        <w:t xml:space="preserve">6. Optional Enumerator Devices</w:t>
      </w:r>
    </w:p>
    <w:p>
      <w:pPr>
        <w:pStyle w:val="BodyText"/>
      </w:pPr>
      <w:r>
        <w:t xml:space="preserve">Not included; can be quoted separately if IGSL requests vendor-supplied devices</w:t>
      </w:r>
    </w:p>
    <w:p>
      <w:pPr>
        <w:pStyle w:val="BodyText"/>
      </w:pPr>
      <w:r>
        <w:t xml:space="preserve">₦0</w:t>
      </w:r>
    </w:p>
    <w:p>
      <w:pPr>
        <w:pStyle w:val="BodyText"/>
      </w:pPr>
      <w:r>
        <w:t xml:space="preserve">7. Travel and Logistics</w:t>
      </w:r>
    </w:p>
    <w:p>
      <w:pPr>
        <w:pStyle w:val="BodyText"/>
      </w:pPr>
      <w:r>
        <w:t xml:space="preserve">Workshops, pilot support, training visits, and escalation support</w:t>
      </w:r>
    </w:p>
    <w:p>
      <w:pPr>
        <w:pStyle w:val="BodyText"/>
      </w:pPr>
      <w:r>
        <w:t xml:space="preserve">₦5,600,000</w:t>
      </w:r>
    </w:p>
    <w:p>
      <w:pPr>
        <w:pStyle w:val="BodyText"/>
      </w:pPr>
      <w:r>
        <w:t xml:space="preserve">8. Contingency</w:t>
      </w:r>
    </w:p>
    <w:p>
      <w:pPr>
        <w:pStyle w:val="BodyText"/>
      </w:pPr>
      <w:r>
        <w:t xml:space="preserve">For controlled change handling and integration uncertainty</w:t>
      </w:r>
    </w:p>
    <w:p>
      <w:pPr>
        <w:pStyle w:val="BodyText"/>
      </w:pPr>
      <w:r>
        <w:t xml:space="preserve">₦4,900,000</w:t>
      </w:r>
    </w:p>
    <w:p>
      <w:pPr>
        <w:pStyle w:val="BodyText"/>
      </w:pPr>
      <w:r>
        <w:t xml:space="preserve">Total Estimated Contract Value</w:t>
      </w:r>
    </w:p>
    <w:p>
      <w:pPr>
        <w:pStyle w:val="BodyText"/>
      </w:pPr>
      <w:r>
        <w:t xml:space="preserve">₦97,300,000</w:t>
      </w:r>
    </w:p>
    <w:p>
      <w:pPr>
        <w:pStyle w:val="Heading3"/>
      </w:pPr>
      <w:bookmarkStart w:id="32" w:name="proposed-payment-schedule"/>
      <w:r>
        <w:t xml:space="preserve">Proposed Payment Schedule</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Proposal Position</w:t>
            </w:r>
          </w:p>
        </w:tc>
        <w:tc>
          <w:tcPr>
            <w:tcBorders>
              <w:bottom w:val="single"/>
            </w:tcBorders>
            <w:vAlign w:val="bottom"/>
          </w:tcPr>
          <w:p>
            <w:pPr>
              <w:pStyle w:val="Compact"/>
              <w:jc w:val="left"/>
            </w:pPr>
            <w:r>
              <w:t xml:space="preserve">Payment</w:t>
            </w:r>
          </w:p>
        </w:tc>
      </w:tr>
      <w:tr>
        <w:tc>
          <w:p>
            <w:pPr>
              <w:pStyle w:val="Compact"/>
              <w:jc w:val="left"/>
            </w:pPr>
            <w:r>
              <w:t xml:space="preserve">Contract Signing</w:t>
            </w:r>
          </w:p>
        </w:tc>
        <w:tc>
          <w:p>
            <w:pPr>
              <w:pStyle w:val="Compact"/>
              <w:jc w:val="left"/>
            </w:pPr>
            <w:r>
              <w:t xml:space="preserve">Accepted</w:t>
            </w:r>
          </w:p>
        </w:tc>
        <w:tc>
          <w:p>
            <w:pPr>
              <w:pStyle w:val="Compact"/>
              <w:jc w:val="left"/>
            </w:pPr>
            <w:r>
              <w:t xml:space="preserve">20%</w:t>
            </w:r>
          </w:p>
        </w:tc>
      </w:tr>
      <w:tr>
        <w:tc>
          <w:p>
            <w:pPr>
              <w:pStyle w:val="Compact"/>
              <w:jc w:val="left"/>
            </w:pPr>
            <w:r>
              <w:t xml:space="preserve">Prototype with Shapefile Integration (Week 3)</w:t>
            </w:r>
          </w:p>
        </w:tc>
        <w:tc>
          <w:p>
            <w:pPr>
              <w:pStyle w:val="Compact"/>
              <w:jc w:val="left"/>
            </w:pPr>
            <w:r>
              <w:t xml:space="preserve">Accepted</w:t>
            </w:r>
          </w:p>
        </w:tc>
        <w:tc>
          <w:p>
            <w:pPr>
              <w:pStyle w:val="Compact"/>
              <w:jc w:val="left"/>
            </w:pPr>
            <w:r>
              <w:t xml:space="preserve">20%</w:t>
            </w:r>
          </w:p>
        </w:tc>
      </w:tr>
      <w:tr>
        <w:tc>
          <w:p>
            <w:pPr>
              <w:pStyle w:val="Compact"/>
              <w:jc w:val="left"/>
            </w:pPr>
            <w:r>
              <w:t xml:space="preserve">Production Release v1.0 (Week 6)</w:t>
            </w:r>
          </w:p>
        </w:tc>
        <w:tc>
          <w:p>
            <w:pPr>
              <w:pStyle w:val="Compact"/>
              <w:jc w:val="left"/>
            </w:pPr>
            <w:r>
              <w:t xml:space="preserve">Accepted</w:t>
            </w:r>
          </w:p>
        </w:tc>
        <w:tc>
          <w:p>
            <w:pPr>
              <w:pStyle w:val="Compact"/>
              <w:jc w:val="left"/>
            </w:pPr>
            <w:r>
              <w:t xml:space="preserve">30%</w:t>
            </w:r>
          </w:p>
        </w:tc>
      </w:tr>
      <w:tr>
        <w:tc>
          <w:p>
            <w:pPr>
              <w:pStyle w:val="Compact"/>
              <w:jc w:val="left"/>
            </w:pPr>
            <w:r>
              <w:t xml:space="preserve">Final Certified Dataset Delivered to IGSL (Month 8)</w:t>
            </w:r>
          </w:p>
        </w:tc>
        <w:tc>
          <w:p>
            <w:pPr>
              <w:pStyle w:val="Compact"/>
              <w:jc w:val="left"/>
            </w:pPr>
            <w:r>
              <w:t xml:space="preserve">Accepted</w:t>
            </w:r>
          </w:p>
        </w:tc>
        <w:tc>
          <w:p>
            <w:pPr>
              <w:pStyle w:val="Compact"/>
              <w:jc w:val="left"/>
            </w:pPr>
            <w:r>
              <w:t xml:space="preserve">30%</w:t>
            </w:r>
          </w:p>
        </w:tc>
      </w:tr>
    </w:tbl>
    <w:p>
      <w:pPr>
        <w:pStyle w:val="Heading3"/>
      </w:pPr>
      <w:bookmarkStart w:id="33" w:name="aipms-notes"/>
      <w:r>
        <w:t xml:space="preserve">AIPMS Notes</w:t>
      </w:r>
      <w:bookmarkEnd w:id="33"/>
    </w:p>
    <w:p>
      <w:pPr>
        <w:pStyle w:val="FirstParagraph"/>
      </w:pPr>
      <w:r>
        <w:t xml:space="preserve">Check whether VAT is included or excluded in the final issue version. Also confirm whether the optional enhancements remain visible in the client-facing commercial pack.</w:t>
      </w:r>
    </w:p>
    <w:p>
      <w:pPr>
        <w:pStyle w:val="Heading3"/>
      </w:pPr>
      <w:bookmarkStart w:id="34" w:name="feva-notes"/>
      <w:r>
        <w:t xml:space="preserve">FEVA Notes</w:t>
      </w:r>
      <w:bookmarkEnd w:id="34"/>
    </w:p>
    <w:p>
      <w:pPr>
        <w:pStyle w:val="FirstParagraph"/>
      </w:pPr>
      <w:r>
        <w:t xml:space="preserve">Confirm whether contingency should remain explicit and whether enumerator devices should stay excluded or be shown as a separately available option.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proposal/AIPMS_pricing_reference.html" TargetMode="External" /><Relationship Type="http://schemas.openxmlformats.org/officeDocument/2006/relationships/hyperlink" Id="rId24" Target="/proposal/FEVA_pricing_reference.html" TargetMode="External" /><Relationship Type="http://schemas.openxmlformats.org/officeDocument/2006/relationships/hyperlink" Id="rId22" Target="/proposal/proposal_pricing_reference.docx" TargetMode="External" /></Relationships>
</file>

<file path=word/_rels/footnotes.xml.rels><?xml version="1.0" encoding="UTF-8"?>
<Relationships xmlns="http://schemas.openxmlformats.org/package/2006/relationships"><Relationship Type="http://schemas.openxmlformats.org/officeDocument/2006/relationships/hyperlink" Id="rId23" Target="/proposal/AIPMS_pricing_reference.html" TargetMode="External" /><Relationship Type="http://schemas.openxmlformats.org/officeDocument/2006/relationships/hyperlink" Id="rId24" Target="/proposal/FEVA_pricing_reference.html" TargetMode="External" /><Relationship Type="http://schemas.openxmlformats.org/officeDocument/2006/relationships/hyperlink" Id="rId22" Target="/proposal/proposal_pricing_referenc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Pricing Reference - AIPMS and FEVA</dc:title>
  <dc:creator/>
  <dc:language>en</dc:language>
  <cp:keywords/>
  <dcterms:created xsi:type="dcterms:W3CDTF">2026-03-13T19:25:54Z</dcterms:created>
  <dcterms:modified xsi:type="dcterms:W3CDTF">2026-03-13T19:25:54Z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