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aipms-pricing-reference"/>
      <w:r>
        <w:rPr/>
        <w:t>AIPMS Pricing Reference</w:t>
      </w:r>
      <w:bookmarkEnd w:id="0"/>
    </w:p>
    <w:p>
      <w:pPr>
        <w:pStyle w:val="FirstParagraph"/>
        <w:rPr/>
      </w:pPr>
      <w:r>
        <w:rPr/>
        <w:t>Pricing extracted from the current AIPMS HTML proposal. This is the active NGN commercial reference.</w:t>
      </w:r>
    </w:p>
    <w:p>
      <w:pPr>
        <w:pStyle w:val="BodyText"/>
        <w:rPr/>
      </w:pPr>
      <w:r>
        <w:rPr>
          <w:b/>
        </w:rPr>
        <w:t>Source of truth:</w:t>
      </w:r>
      <w:r>
        <w:rPr/>
        <w:t xml:space="preserve"> This sheet is based on the generated Naira pricing inside the current AIPMS HTML proposal. Older Word documents are not the commercial source for this working version.</w:t>
      </w:r>
    </w:p>
    <w:p>
      <w:pPr>
        <w:pStyle w:val="BodyText"/>
        <w:rPr/>
      </w:pPr>
      <w:r>
        <w:rPr>
          <w:b/>
        </w:rPr>
        <w:t>Working FX basis:</w:t>
      </w:r>
      <w:r>
        <w:rPr/>
        <w:t xml:space="preserve"> ₦1,400 per US$1</w:t>
      </w:r>
    </w:p>
    <w:p>
      <w:pPr>
        <w:pStyle w:val="Heading2"/>
        <w:rPr/>
      </w:pPr>
      <w:bookmarkStart w:id="1" w:name="fixed-price-delivery-breakdown"/>
      <w:r>
        <w:rPr/>
        <w:t>Fixed-Price Delivery Breakdown</w:t>
      </w:r>
      <w:bookmarkEnd w:id="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807"/>
        <w:gridCol w:w="2809"/>
        <w:gridCol w:w="3744"/>
      </w:tblGrid>
      <w:tr>
        <w:trPr>
          <w:cnfStyle w:firstRow="1"/>
        </w:trPr>
        <w:tc>
          <w:tcPr>
            <w:tcW w:w="280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 / Scope</w:t>
            </w:r>
          </w:p>
        </w:tc>
        <w:tc>
          <w:tcPr>
            <w:tcW w:w="28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Price (₦)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 Mobilisation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Hosting setup, parameter workshops, role setup, configuration planning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8,400,000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 Lite Version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Modules 1-5 core functionality, workflows, templates, and initial training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5,200,000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P2 Full Configuration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Modules 3, 6, and 7 completion, FDT CSV integration, dashboards, HR/payroll, exports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,600,000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P3 Full Go-Live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UAT support, go-live execution, training completion, production cutover support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12,600,000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P4 Handover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Documentation, knowledge transfer, final acceptance support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4,200,000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Total Fixed Delivery Fee</w:t>
            </w:r>
          </w:p>
        </w:tc>
        <w:tc>
          <w:tcPr>
            <w:tcW w:w="2809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fldChar w:fldCharType="begin"/>
            </w:r>
            <w:r>
              <w:rPr>
                <w:sz w:val="24"/>
                <w:kern w:val="0"/>
                <w:szCs w:val="24"/>
                <w:rFonts w:eastAsia="Cambria" w:cs=""/>
                <w:lang w:val="en-US" w:eastAsia="en-US" w:bidi="ar-SA"/>
              </w:rPr>
              <w:instrText xml:space="preserve"> =sum(C1:C6)</w:instrText>
            </w:r>
            <w:r>
              <w:rPr>
                <w:sz w:val="24"/>
                <w:kern w:val="0"/>
                <w:szCs w:val="24"/>
                <w:rFonts w:eastAsia="Cambria" w:cs=""/>
                <w:lang w:val="en-US" w:eastAsia="en-US" w:bidi="ar-SA"/>
              </w:rPr>
              <w:fldChar w:fldCharType="separate"/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56000000</w:t>
            </w:r>
            <w:r>
              <w:rPr>
                <w:sz w:val="24"/>
                <w:kern w:val="0"/>
                <w:szCs w:val="24"/>
                <w:rFonts w:eastAsia="Cambria" w:cs=""/>
                <w:lang w:val="en-US" w:eastAsia="en-US" w:bidi="ar-SA"/>
              </w:rPr>
              <w:fldChar w:fldCharType="end"/>
            </w:r>
          </w:p>
        </w:tc>
      </w:tr>
    </w:tbl>
    <w:p>
      <w:pPr>
        <w:pStyle w:val="Heading2"/>
        <w:rPr/>
      </w:pPr>
      <w:bookmarkStart w:id="2" w:name="X6c55bc4b5ea56303eb39d207d5ce39c66b9c4b0"/>
      <w:r>
        <w:rPr/>
        <w:t>Hosting, Support, and 3-Year Cost Structure</w:t>
      </w:r>
      <w:bookmarkEnd w:id="2"/>
    </w:p>
    <w:tbl>
      <w:tblPr>
        <w:tblStyle w:val="Table"/>
        <w:tblW w:w="495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1985"/>
        <w:gridCol w:w="1986"/>
        <w:gridCol w:w="2647"/>
        <w:gridCol w:w="2647"/>
      </w:tblGrid>
      <w:tr>
        <w:trPr>
          <w:cnfStyle w:firstRow="1"/>
        </w:trPr>
        <w:tc>
          <w:tcPr>
            <w:tcW w:w="19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19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Monthly Fee (₦)</w:t>
            </w:r>
          </w:p>
        </w:tc>
        <w:tc>
          <w:tcPr>
            <w:tcW w:w="264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Annual Fee (₦)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Hosting</w:t>
            </w:r>
          </w:p>
        </w:tc>
        <w:tc>
          <w:tcPr>
            <w:tcW w:w="1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 hosting, backups, monitoring, and maintenance window management</w:t>
            </w:r>
          </w:p>
        </w:tc>
        <w:tc>
          <w:tcPr>
            <w:tcW w:w="264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500,000</w:t>
            </w:r>
          </w:p>
        </w:tc>
        <w:tc>
          <w:tcPr>
            <w:tcW w:w="264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6,0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00,000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Year 1 Support Retainer</w:t>
            </w:r>
          </w:p>
        </w:tc>
        <w:tc>
          <w:tcPr>
            <w:tcW w:w="1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Bug fixes, security patches, SLA support, and agreed monthly enhancement hours</w:t>
            </w:r>
          </w:p>
        </w:tc>
        <w:tc>
          <w:tcPr>
            <w:tcW w:w="264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,500,000</w:t>
            </w:r>
          </w:p>
        </w:tc>
        <w:tc>
          <w:tcPr>
            <w:tcW w:w="264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,000,000</w:t>
            </w:r>
          </w:p>
        </w:tc>
      </w:tr>
    </w:tbl>
    <w:p>
      <w:pPr>
        <w:pStyle w:val="Heading2"/>
        <w:rPr/>
      </w:pPr>
      <w:bookmarkStart w:id="3" w:name="training-and-optional-enhancements"/>
      <w:r>
        <w:rPr/>
        <w:t>Training and Optional Enhancements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807"/>
        <w:gridCol w:w="2809"/>
        <w:gridCol w:w="3744"/>
      </w:tblGrid>
      <w:tr>
        <w:trPr>
          <w:cnfStyle w:firstRow="1"/>
        </w:trPr>
        <w:tc>
          <w:tcPr>
            <w:tcW w:w="280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28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Price (₦)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Training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Tier 1-7 training programme, user guides, and recorded walkthroughs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Included in fixed delivery fee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 2 API Integration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Scheduled/API-based FDT integration beyond mandatory CSV import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11,200,000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Mobile HR Check-In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Enhanced field check-in workflow with device/location controls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8,400,000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Price validity:</w:t>
      </w:r>
      <w:r>
        <w:rPr/>
        <w:t xml:space="preserve"> Minimum 90 days from proposal submission date.</w:t>
      </w:r>
    </w:p>
    <w:p>
      <w:pPr>
        <w:pStyle w:val="Heading2"/>
        <w:rPr/>
      </w:pPr>
      <w:bookmarkStart w:id="4" w:name="proposed-payment-terms"/>
      <w:r>
        <w:rPr/>
        <w:t>Proposed Payment Terms</w:t>
      </w:r>
      <w:bookmarkEnd w:id="4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807"/>
        <w:gridCol w:w="2809"/>
        <w:gridCol w:w="3744"/>
      </w:tblGrid>
      <w:tr>
        <w:trPr>
          <w:cnfStyle w:firstRow="1"/>
        </w:trPr>
        <w:tc>
          <w:tcPr>
            <w:tcW w:w="280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Milestone</w:t>
            </w:r>
          </w:p>
        </w:tc>
        <w:tc>
          <w:tcPr>
            <w:tcW w:w="28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</w:t>
            </w:r>
          </w:p>
        </w:tc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% of Delivery Fee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 Mobilisation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Contract execution and mobilisation completion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 Lite Version Acceptance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Written sign-off for Modules 1-5 core readiness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P2 Full Configuration Acceptance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Configured Modules 6 and 7, FDT integration, and UAT readiness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35%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P3 Full Go-Live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 go-live and completion of operational readiness activities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20%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P4 Final Handover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Documentation, handover, and close-out acceptance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10%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1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3131</TotalTime>
  <Application>LibreOffice/24.2.7.2$Linux_X86_64 LibreOffice_project/420$Build-2</Application>
  <AppVersion>15.0000</AppVersion>
  <Pages>3</Pages>
  <Words>292</Words>
  <Characters>1873</Characters>
  <CharactersWithSpaces>2094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2026-03-13T19:27:56Z</dcterms:created>
  <dc:creator/>
  <dc:description/>
  <dc:language>en-US</dc:language>
  <cp:lastModifiedBy/>
  <dcterms:modified xsi:type="dcterms:W3CDTF">2026-03-16T00:58:33Z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