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widowControl/>
        <w:bidi w:val="0"/>
        <w:spacing w:lineRule="atLeast" w:line="51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6"/>
        </w:rPr>
        <w:t>Technical &amp; Commercial Proposal for the Addressing Infrastructure Programme Management System (AIPMS)</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RFP Reference: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AIPMS-RFP-001 v2.0</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Date: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[Date of Submission]</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Submitted to:</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Inspired Global Systems Ltd (IGSL)</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Submitted by:</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[Your Company Name]</w:t>
      </w:r>
    </w:p>
    <w:p>
      <w:pPr>
        <w:pStyle w:val="HorizontalLine"/>
        <w:bidi w:val="0"/>
        <w:jc w:val="start"/>
        <w:rPr/>
      </w:pPr>
      <w:r>
        <w:rPr/>
      </w:r>
    </w:p>
    <w:p>
      <w:pPr>
        <w:pStyle w:val="Heading2"/>
        <w:widowControl/>
        <w:bidi w:val="0"/>
        <w:spacing w:lineRule="atLeast" w:line="48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t>Section A: Executive Summary</w:t>
      </w:r>
    </w:p>
    <w:p>
      <w:pPr>
        <w:pStyle w:val="BodyText"/>
        <w:widowControl/>
        <w:bidi w:val="0"/>
        <w:spacing w:before="240" w:after="24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[Your Company Name] is pleased to submit this proposal for the supply, configuration, and support of the Addressing Infrastructure Programme Management System (AIPMS). Our approach is centered on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ERPNext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the world's leading open-source ERP system, which we will configure and enhance to meet 100% of the Mandatory (M) requirements outlined in the RFP.</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Proposed Approach: Platform Configuration with Targeted Enhancements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br/>
        <w:t>We propose a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hybrid approach</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utilizing ERPNext as our foundational base. ERPNext is a mature, full-featured platform with native modules for Accounting, HR/Payroll, Projects (Milestones), Document Management, and Procurement . This allows us to meet the aggressive delivery timeline by configuring existing, battle-tested features rather than building from scratch. We will develop the required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Configuration Panel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and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FDT Integration Module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as custom "Frappe Apps" that sit seamlessly on top of the core ERPNext framework.</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Key Differentiators</w:t>
      </w:r>
    </w:p>
    <w:p>
      <w:pPr>
        <w:pStyle w:val="BodyText"/>
        <w:widowControl/>
        <w:numPr>
          <w:ilvl w:val="0"/>
          <w:numId w:val="1"/>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Proven in Nigeria:</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ERPNext has a growing footprint in Nigeria with native capabilities for Nigerian taxes (VAT, WHT, PAYE) and statutory deductions (Pension, NHF, NSITF), ensuring compliance from day one .</w:t>
      </w:r>
    </w:p>
    <w:p>
      <w:pPr>
        <w:pStyle w:val="BodyText"/>
        <w:widowControl/>
        <w:numPr>
          <w:ilvl w:val="0"/>
          <w:numId w:val="1"/>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Unmatched Configurability:</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The Frappe framework is built for rapid development. The "Configuration Panel" you require is not an afterthought; it is the core design principle of the platform. All programme parameters will be managed via intuitive "DocType" forms.</w:t>
      </w:r>
    </w:p>
    <w:p>
      <w:pPr>
        <w:pStyle w:val="BodyText"/>
        <w:widowControl/>
        <w:numPr>
          <w:ilvl w:val="0"/>
          <w:numId w:val="1"/>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True Offline Mobile Capability:</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We will utilize the ERPNext mobile app framework to provide HR and field personnel with genuine offline data entry for attendance and deployment, with seamless background sync when connectivity is restored .</w:t>
      </w:r>
    </w:p>
    <w:p>
      <w:pPr>
        <w:pStyle w:val="BodyText"/>
        <w:widowControl/>
        <w:numPr>
          <w:ilvl w:val="0"/>
          <w:numId w:val="1"/>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Data Ownership &amp; Open Source: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As ERPNext is GPL-3.0 licensed, there is no vendor lock-in. We will place all custom code in a source code escrow, guaranteeing your perpetual ownership of the IP for the modules we build .</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Timeline Commitment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br/>
        <w:t>We have carefully reviewed the delivery timeline in Section 6 of the RFP. We confirm our ability to deliver:</w:t>
      </w:r>
    </w:p>
    <w:p>
      <w:pPr>
        <w:pStyle w:val="BodyText"/>
        <w:widowControl/>
        <w:numPr>
          <w:ilvl w:val="0"/>
          <w:numId w:val="2"/>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Lite Version (Modules 1-5 Core):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Live and programme-ready by the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end of Week 2</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w:t>
      </w:r>
    </w:p>
    <w:p>
      <w:pPr>
        <w:pStyle w:val="BodyText"/>
        <w:widowControl/>
        <w:numPr>
          <w:ilvl w:val="0"/>
          <w:numId w:val="2"/>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Full Go-Live (All 7 Modules):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Fully functional and accepted by the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end of Week 8</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two weeks ahead of the required deadline.</w:t>
      </w:r>
    </w:p>
    <w:p>
      <w:pPr>
        <w:pStyle w:val="HorizontalLine"/>
        <w:bidi w:val="0"/>
        <w:jc w:val="start"/>
        <w:rPr/>
      </w:pPr>
      <w:r>
        <w:rPr/>
      </w:r>
    </w:p>
    <w:p>
      <w:pPr>
        <w:pStyle w:val="Heading2"/>
        <w:widowControl/>
        <w:bidi w:val="0"/>
        <w:spacing w:lineRule="atLeast" w:line="48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t>Section B: Respondent Profile &amp; Credentials</w:t>
      </w:r>
    </w:p>
    <w:p>
      <w:pPr>
        <w:pStyle w:val="BodyText"/>
        <w:widowControl/>
        <w:numPr>
          <w:ilvl w:val="0"/>
          <w:numId w:val="3"/>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Company Name: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[Your Company Name]</w:t>
      </w:r>
    </w:p>
    <w:p>
      <w:pPr>
        <w:pStyle w:val="BodyText"/>
        <w:widowControl/>
        <w:numPr>
          <w:ilvl w:val="0"/>
          <w:numId w:val="3"/>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Registration Number:</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[Your Registration Number]</w:t>
      </w:r>
    </w:p>
    <w:p>
      <w:pPr>
        <w:pStyle w:val="BodyText"/>
        <w:widowControl/>
        <w:numPr>
          <w:ilvl w:val="0"/>
          <w:numId w:val="3"/>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Registered Address: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[Your Address]</w:t>
      </w:r>
    </w:p>
    <w:p>
      <w:pPr>
        <w:pStyle w:val="BodyText"/>
        <w:widowControl/>
        <w:numPr>
          <w:ilvl w:val="0"/>
          <w:numId w:val="3"/>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Primary Contact: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[Name, Title, Email, Phone]</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Company Overview</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br/>
        <w:t>[Your Company Name] is a certified ERPNext Service Partner with [Number] years of experience implementing enterprise-grade solutions across Africa. We specialize in government programme management, financial systems, and HR automation. Our team of [Number] certified developers and functional consultants ensures world-class delivery and local support.</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Relevant Client References</w:t>
      </w:r>
    </w:p>
    <w:tbl>
      <w:tblPr>
        <w:tblW w:w="9638" w:type="dxa"/>
        <w:jc w:val="start"/>
        <w:tblInd w:w="0" w:type="dxa"/>
        <w:tblLayout w:type="fixed"/>
        <w:tblCellMar>
          <w:top w:w="0" w:type="dxa"/>
          <w:start w:w="0" w:type="dxa"/>
          <w:bottom w:w="150" w:type="dxa"/>
          <w:end w:w="0" w:type="dxa"/>
        </w:tblCellMar>
      </w:tblPr>
      <w:tblGrid>
        <w:gridCol w:w="2141"/>
        <w:gridCol w:w="3899"/>
        <w:gridCol w:w="1356"/>
        <w:gridCol w:w="1029"/>
        <w:gridCol w:w="1213"/>
      </w:tblGrid>
      <w:tr>
        <w:trPr>
          <w:tblHeader w:val="true"/>
        </w:trPr>
        <w:tc>
          <w:tcPr>
            <w:tcW w:w="2141" w:type="dxa"/>
            <w:tcBorders>
              <w:bottom w:val="single" w:sz="2" w:space="0" w:color="000000"/>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Client Name</w:t>
            </w:r>
          </w:p>
        </w:tc>
        <w:tc>
          <w:tcPr>
            <w:tcW w:w="3899" w:type="dxa"/>
            <w:tcBorders>
              <w:bottom w:val="single" w:sz="2" w:space="0" w:color="000000"/>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Project Scope</w:t>
            </w:r>
          </w:p>
        </w:tc>
        <w:tc>
          <w:tcPr>
            <w:tcW w:w="1356" w:type="dxa"/>
            <w:tcBorders>
              <w:bottom w:val="single" w:sz="2" w:space="0" w:color="000000"/>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Contract Value (Approx.)</w:t>
            </w:r>
          </w:p>
        </w:tc>
        <w:tc>
          <w:tcPr>
            <w:tcW w:w="1029" w:type="dxa"/>
            <w:tcBorders>
              <w:bottom w:val="single" w:sz="2" w:space="0" w:color="000000"/>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Go-Live Date</w:t>
            </w:r>
          </w:p>
        </w:tc>
        <w:tc>
          <w:tcPr>
            <w:tcW w:w="1213" w:type="dxa"/>
            <w:tcBorders>
              <w:bottom w:val="single" w:sz="2" w:space="0" w:color="000000"/>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Contact</w:t>
            </w:r>
          </w:p>
        </w:tc>
      </w:tr>
      <w:tr>
        <w:trPr/>
        <w:tc>
          <w:tcPr>
            <w:tcW w:w="2141" w:type="dxa"/>
            <w:tcBorders>
              <w:bottom w:val="single" w:sz="2" w:space="0" w:color="000000"/>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Ingentia Energies</w:t>
            </w:r>
          </w:p>
        </w:tc>
        <w:tc>
          <w:tcPr>
            <w:tcW w:w="3899"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Programme Management for [Project], integrating contractor payments, milestone tracking, and financial reporting.</w:t>
            </w:r>
          </w:p>
        </w:tc>
        <w:tc>
          <w:tcPr>
            <w:tcW w:w="1356"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[Value]</w:t>
            </w:r>
          </w:p>
        </w:tc>
        <w:tc>
          <w:tcPr>
            <w:tcW w:w="1029"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[Date]</w:t>
            </w:r>
          </w:p>
        </w:tc>
        <w:tc>
          <w:tcPr>
            <w:tcW w:w="1213"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[Name, Title, Email]</w:t>
            </w:r>
          </w:p>
        </w:tc>
      </w:tr>
      <w:tr>
        <w:trPr/>
        <w:tc>
          <w:tcPr>
            <w:tcW w:w="2141" w:type="dxa"/>
            <w:tcBorders>
              <w:bottom w:val="single" w:sz="2" w:space="0" w:color="000000"/>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One School Initiative</w:t>
            </w:r>
          </w:p>
        </w:tc>
        <w:tc>
          <w:tcPr>
            <w:tcW w:w="3899"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HR &amp; Payroll system for 2,000+ staff, including offline attendance capture, statutory remittances, and donor financial reporting.</w:t>
            </w:r>
          </w:p>
        </w:tc>
        <w:tc>
          <w:tcPr>
            <w:tcW w:w="1356"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[Value]</w:t>
            </w:r>
          </w:p>
        </w:tc>
        <w:tc>
          <w:tcPr>
            <w:tcW w:w="1029"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[Date]</w:t>
            </w:r>
          </w:p>
        </w:tc>
        <w:tc>
          <w:tcPr>
            <w:tcW w:w="1213"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[Name, Title, Email]</w:t>
            </w:r>
          </w:p>
        </w:tc>
      </w:tr>
      <w:tr>
        <w:trPr/>
        <w:tc>
          <w:tcPr>
            <w:tcW w:w="2141" w:type="dxa"/>
            <w:tcBorders>
              <w:bottom w:val="single" w:sz="2" w:space="0" w:color="000000"/>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[Infrastructure Construction Firm]</w:t>
            </w:r>
          </w:p>
        </w:tc>
        <w:tc>
          <w:tcPr>
            <w:tcW w:w="3899"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ERP implementation covering Project Accounting, Contract Management, Procurement, and Inventory for a multi-site road construction project.</w:t>
            </w:r>
          </w:p>
        </w:tc>
        <w:tc>
          <w:tcPr>
            <w:tcW w:w="1356"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[Value]</w:t>
            </w:r>
          </w:p>
        </w:tc>
        <w:tc>
          <w:tcPr>
            <w:tcW w:w="1029"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[Date]</w:t>
            </w:r>
          </w:p>
        </w:tc>
        <w:tc>
          <w:tcPr>
            <w:tcW w:w="1213" w:type="dxa"/>
            <w:tcBorders>
              <w:bottom w:val="single" w:sz="2" w:space="0" w:color="000000"/>
            </w:tcBorders>
            <w:vAlign w:val="center"/>
          </w:tcPr>
          <w:p>
            <w:pPr>
              <w:pStyle w:val="TableContents"/>
              <w:bidi w:val="0"/>
              <w:spacing w:lineRule="atLeast" w:line="375"/>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[Name, Title, Email]</w:t>
            </w:r>
          </w:p>
        </w:tc>
      </w:tr>
    </w:tbl>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Local Delivery Capacity</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br/>
        <w:t>We maintain a permanent office in [City, Nigeria] with a full-time team of [Number] consultants, developers, and support staff. This ensures we can provide on-site training, hypercare support, and long-term relationship management as required by IGSL.</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Data Protection Compliance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br/>
        <w:t>We are fully conversant with the Nigeria Data Protection Regulation (NDPR). Our data processing agreements and security protocols ensure all personal and HR data is handled in strict compliance with local law.</w:t>
      </w:r>
    </w:p>
    <w:p>
      <w:pPr>
        <w:pStyle w:val="HorizontalLine"/>
        <w:bidi w:val="0"/>
        <w:jc w:val="start"/>
        <w:rPr/>
      </w:pPr>
      <w:r>
        <w:rPr/>
      </w:r>
    </w:p>
    <w:p>
      <w:pPr>
        <w:pStyle w:val="Heading2"/>
        <w:widowControl/>
        <w:bidi w:val="0"/>
        <w:spacing w:lineRule="atLeast" w:line="48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t>Section C: Technical Approach</w:t>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Proposed Platform: ERPNext (Frappe Framework)</w:t>
      </w:r>
    </w:p>
    <w:p>
      <w:pPr>
        <w:pStyle w:val="BodyText"/>
        <w:widowControl/>
        <w:bidi w:val="0"/>
        <w:spacing w:before="24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ERPNext is more than an ERP; it is a full-stack application development framework (Frappe) that uses Python and JavaScript. This allows us to meet your specific needs through configuration, not just customization . We will deliver the AIPMS using the latest stable version of ERPNext, hosted on a secure, scalable cloud infrastructure in Nigeria (or a jurisdiction you specify).</w:t>
      </w:r>
    </w:p>
    <w:p>
      <w:pPr>
        <w:pStyle w:val="Heading3"/>
        <w:widowControl/>
        <w:bidi w:val="0"/>
        <w:spacing w:before="24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2. Module-by-Module Compliance Matrix</w:t>
      </w:r>
    </w:p>
    <w:p>
      <w:pPr>
        <w:pStyle w:val="BodyText"/>
        <w:widowControl/>
        <w:bidi w:val="0"/>
        <w:spacing w:before="240" w:after="24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We confirm that our proposed ERPNext-based solution meets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100% of Mandatory (M) requirements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across all seven modules as specified in AIPMS-FRS-001 v2.0. The tables below detail our approach to each requirement.</w:t>
      </w:r>
    </w:p>
    <w:p>
      <w:pPr>
        <w:pStyle w:val="Heading4"/>
        <w:widowControl/>
        <w:bidi w:val="0"/>
        <w:spacing w:lineRule="atLeast" w:line="420" w:before="24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Module 1: Milestone &amp; Programme Schedule</w:t>
      </w:r>
    </w:p>
    <w:tbl>
      <w:tblPr>
        <w:tblW w:w="9638" w:type="dxa"/>
        <w:jc w:val="start"/>
        <w:tblInd w:w="0" w:type="dxa"/>
        <w:tblLayout w:type="fixed"/>
        <w:tblCellMar>
          <w:top w:w="0" w:type="dxa"/>
          <w:start w:w="0" w:type="dxa"/>
          <w:bottom w:w="150" w:type="dxa"/>
          <w:end w:w="0" w:type="dxa"/>
        </w:tblCellMar>
      </w:tblPr>
      <w:tblGrid>
        <w:gridCol w:w="2497"/>
        <w:gridCol w:w="5313"/>
        <w:gridCol w:w="1828"/>
      </w:tblGrid>
      <w:tr>
        <w:trPr>
          <w:tblHeader w:val="true"/>
        </w:trPr>
        <w:tc>
          <w:tcPr>
            <w:tcW w:w="2497" w:type="dxa"/>
            <w:tcBorders>
              <w:bottom w:val="single" w:sz="2" w:space="0" w:color="000000"/>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RFP Requirement</w:t>
            </w:r>
          </w:p>
        </w:tc>
        <w:tc>
          <w:tcPr>
            <w:tcW w:w="5313" w:type="dxa"/>
            <w:tcBorders>
              <w:bottom w:val="single" w:sz="2" w:space="0" w:color="000000"/>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ERPNext Implementation</w:t>
            </w:r>
          </w:p>
        </w:tc>
        <w:tc>
          <w:tcPr>
            <w:tcW w:w="1828" w:type="dxa"/>
            <w:tcBorders>
              <w:bottom w:val="single" w:sz="2" w:space="0" w:color="000000"/>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Compliance</w:t>
            </w:r>
          </w:p>
        </w:tc>
      </w:tr>
      <w:tr>
        <w:trPr/>
        <w:tc>
          <w:tcPr>
            <w:tcW w:w="2497"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Configurable milestone count and names (M)</w:t>
            </w:r>
          </w:p>
        </w:tc>
        <w:tc>
          <w:tcPr>
            <w:tcW w:w="5313"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ERPNext Projects broken into Tasks with custom statuses, assignees, and due dates. Project Templates ensure consistency across programmes.</w:t>
            </w:r>
          </w:p>
        </w:tc>
        <w:tc>
          <w:tcPr>
            <w:tcW w:w="1828" w:type="dxa"/>
            <w:tcBorders>
              <w:bottom w:val="single" w:sz="2" w:space="0" w:color="000000"/>
            </w:tcBorders>
            <w:vAlign w:val="center"/>
          </w:tcPr>
          <w:p>
            <w:pPr>
              <w:pStyle w:val="TableContents"/>
              <w:bidi w:val="0"/>
              <w:spacing w:lineRule="atLeast" w:line="375"/>
              <w:ind w:hanging="0" w:start="0" w:end="0"/>
              <w:jc w:val="start"/>
              <w:rPr/>
            </w:pPr>
            <w:r>
              <w:rPr>
                <w:caps w:val="false"/>
                <w:smallCaps w:val="false"/>
              </w:rPr>
              <w:t>✅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Fully Compliant</w:t>
            </w:r>
          </w:p>
        </w:tc>
      </w:tr>
      <w:tr>
        <w:trPr/>
        <w:tc>
          <w:tcPr>
            <w:tcW w:w="2497"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Milestone sign-off workflows (M)</w:t>
            </w:r>
          </w:p>
        </w:tc>
        <w:tc>
          <w:tcPr>
            <w:tcW w:w="5313"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Approval Workflow engine enables multi-level sign-offs. Tasks can require manager approval before completion.</w:t>
            </w:r>
          </w:p>
        </w:tc>
        <w:tc>
          <w:tcPr>
            <w:tcW w:w="1828" w:type="dxa"/>
            <w:tcBorders>
              <w:bottom w:val="single" w:sz="2" w:space="0" w:color="000000"/>
            </w:tcBorders>
            <w:vAlign w:val="center"/>
          </w:tcPr>
          <w:p>
            <w:pPr>
              <w:pStyle w:val="TableContents"/>
              <w:bidi w:val="0"/>
              <w:spacing w:lineRule="atLeast" w:line="375"/>
              <w:ind w:hanging="0" w:start="0" w:end="0"/>
              <w:jc w:val="start"/>
              <w:rPr/>
            </w:pPr>
            <w:r>
              <w:rPr>
                <w:caps w:val="false"/>
                <w:smallCaps w:val="false"/>
              </w:rPr>
              <w:t>✅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Fully Compliant</w:t>
            </w:r>
          </w:p>
        </w:tc>
      </w:tr>
      <w:tr>
        <w:trPr/>
        <w:tc>
          <w:tcPr>
            <w:tcW w:w="2497"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Progress tracking vs targets (M)</w:t>
            </w:r>
          </w:p>
        </w:tc>
        <w:tc>
          <w:tcPr>
            <w:tcW w:w="5313"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Project view tracks real-time percentage completion against planned dates via Gantt and dashboard views.</w:t>
            </w:r>
          </w:p>
        </w:tc>
        <w:tc>
          <w:tcPr>
            <w:tcW w:w="1828" w:type="dxa"/>
            <w:tcBorders>
              <w:bottom w:val="single" w:sz="2" w:space="0" w:color="000000"/>
            </w:tcBorders>
            <w:vAlign w:val="center"/>
          </w:tcPr>
          <w:p>
            <w:pPr>
              <w:pStyle w:val="TableContents"/>
              <w:bidi w:val="0"/>
              <w:spacing w:lineRule="atLeast" w:line="375"/>
              <w:ind w:hanging="0" w:start="0" w:end="0"/>
              <w:jc w:val="start"/>
              <w:rPr/>
            </w:pPr>
            <w:r>
              <w:rPr>
                <w:caps w:val="false"/>
                <w:smallCaps w:val="false"/>
              </w:rPr>
              <w:t>✅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Fully Compliant</w:t>
            </w:r>
          </w:p>
        </w:tc>
      </w:tr>
      <w:tr>
        <w:trPr/>
        <w:tc>
          <w:tcPr>
            <w:tcW w:w="2497"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Automated alerts for approaching deadlines (H)</w:t>
            </w:r>
          </w:p>
        </w:tc>
        <w:tc>
          <w:tcPr>
            <w:tcW w:w="5313"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Email notifications and system alerts configurable for approaching/overdue milestones and escalations.</w:t>
            </w:r>
          </w:p>
        </w:tc>
        <w:tc>
          <w:tcPr>
            <w:tcW w:w="1828" w:type="dxa"/>
            <w:tcBorders>
              <w:bottom w:val="single" w:sz="2" w:space="0" w:color="000000"/>
            </w:tcBorders>
            <w:vAlign w:val="center"/>
          </w:tcPr>
          <w:p>
            <w:pPr>
              <w:pStyle w:val="TableContents"/>
              <w:bidi w:val="0"/>
              <w:spacing w:lineRule="atLeast" w:line="375"/>
              <w:ind w:hanging="0" w:start="0" w:end="0"/>
              <w:jc w:val="start"/>
              <w:rPr/>
            </w:pPr>
            <w:r>
              <w:rPr>
                <w:caps w:val="false"/>
                <w:smallCaps w:val="false"/>
              </w:rPr>
              <w:t>✅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Compliant</w:t>
            </w:r>
          </w:p>
        </w:tc>
      </w:tr>
      <w:tr>
        <w:trPr/>
        <w:tc>
          <w:tcPr>
            <w:tcW w:w="2497"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Report generation from live data (H)</w:t>
            </w:r>
          </w:p>
        </w:tc>
        <w:tc>
          <w:tcPr>
            <w:tcW w:w="5313"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Custom Reports generate milestone status summaries, variance analysis, and progress reports on demand.</w:t>
            </w:r>
          </w:p>
        </w:tc>
        <w:tc>
          <w:tcPr>
            <w:tcW w:w="1828" w:type="dxa"/>
            <w:tcBorders>
              <w:bottom w:val="single" w:sz="2" w:space="0" w:color="000000"/>
            </w:tcBorders>
            <w:vAlign w:val="center"/>
          </w:tcPr>
          <w:p>
            <w:pPr>
              <w:pStyle w:val="TableContents"/>
              <w:bidi w:val="0"/>
              <w:spacing w:lineRule="atLeast" w:line="375"/>
              <w:ind w:hanging="0" w:start="0" w:end="0"/>
              <w:jc w:val="start"/>
              <w:rPr/>
            </w:pPr>
            <w:r>
              <w:rPr>
                <w:caps w:val="false"/>
                <w:smallCaps w:val="false"/>
              </w:rPr>
              <w:t>✅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Compliant</w:t>
            </w:r>
          </w:p>
        </w:tc>
      </w:tr>
    </w:tbl>
    <w:p>
      <w:pPr>
        <w:pStyle w:val="Heading4"/>
        <w:widowControl/>
        <w:bidi w:val="0"/>
        <w:spacing w:lineRule="atLeast" w:line="420" w:before="24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Module 2: Contract &amp; Vendor Management</w:t>
      </w:r>
    </w:p>
    <w:tbl>
      <w:tblPr>
        <w:tblW w:w="9638" w:type="dxa"/>
        <w:jc w:val="start"/>
        <w:tblInd w:w="0" w:type="dxa"/>
        <w:tblLayout w:type="fixed"/>
        <w:tblCellMar>
          <w:top w:w="0" w:type="dxa"/>
          <w:start w:w="0" w:type="dxa"/>
          <w:bottom w:w="150" w:type="dxa"/>
          <w:end w:w="0" w:type="dxa"/>
        </w:tblCellMar>
      </w:tblPr>
      <w:tblGrid>
        <w:gridCol w:w="3627"/>
        <w:gridCol w:w="4222"/>
        <w:gridCol w:w="1789"/>
      </w:tblGrid>
      <w:tr>
        <w:trPr>
          <w:tblHeader w:val="true"/>
        </w:trPr>
        <w:tc>
          <w:tcPr>
            <w:tcW w:w="3627" w:type="dxa"/>
            <w:tcBorders>
              <w:bottom w:val="single" w:sz="2" w:space="0" w:color="000000"/>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RFP Requirement</w:t>
            </w:r>
          </w:p>
        </w:tc>
        <w:tc>
          <w:tcPr>
            <w:tcW w:w="4222" w:type="dxa"/>
            <w:tcBorders>
              <w:bottom w:val="single" w:sz="2" w:space="0" w:color="000000"/>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ERPNext Implementation</w:t>
            </w:r>
          </w:p>
        </w:tc>
        <w:tc>
          <w:tcPr>
            <w:tcW w:w="1789" w:type="dxa"/>
            <w:tcBorders>
              <w:bottom w:val="single" w:sz="2" w:space="0" w:color="000000"/>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Compliance</w:t>
            </w:r>
          </w:p>
        </w:tc>
      </w:tr>
      <w:tr>
        <w:trPr/>
        <w:tc>
          <w:tcPr>
            <w:tcW w:w="3627"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Contract register with full lifecycle (M)</w:t>
            </w:r>
          </w:p>
        </w:tc>
        <w:tc>
          <w:tcPr>
            <w:tcW w:w="4222"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Contract doctype maintains complete digital register including parties, terms, value, dates, and amendments.</w:t>
            </w:r>
          </w:p>
        </w:tc>
        <w:tc>
          <w:tcPr>
            <w:tcW w:w="1789" w:type="dxa"/>
            <w:tcBorders>
              <w:bottom w:val="single" w:sz="2" w:space="0" w:color="000000"/>
            </w:tcBorders>
            <w:vAlign w:val="center"/>
          </w:tcPr>
          <w:p>
            <w:pPr>
              <w:pStyle w:val="TableContents"/>
              <w:bidi w:val="0"/>
              <w:spacing w:lineRule="atLeast" w:line="375"/>
              <w:ind w:hanging="0" w:start="0" w:end="0"/>
              <w:jc w:val="start"/>
              <w:rPr/>
            </w:pPr>
            <w:r>
              <w:rPr>
                <w:caps w:val="false"/>
                <w:smallCaps w:val="false"/>
              </w:rPr>
              <w:t>✅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Fully Compliant</w:t>
            </w:r>
          </w:p>
        </w:tc>
      </w:tr>
      <w:tr>
        <w:trPr/>
        <w:tc>
          <w:tcPr>
            <w:tcW w:w="3627"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Selective Vendor Register (SVR) with nomination-to-approval workflow (M)</w:t>
            </w:r>
          </w:p>
        </w:tc>
        <w:tc>
          <w:tcPr>
            <w:tcW w:w="4222"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Custom Supplier doctype with approval workflows. Suppliers can be tagged, categorized, and approved through defined processes.</w:t>
            </w:r>
          </w:p>
        </w:tc>
        <w:tc>
          <w:tcPr>
            <w:tcW w:w="1789" w:type="dxa"/>
            <w:tcBorders>
              <w:bottom w:val="single" w:sz="2" w:space="0" w:color="000000"/>
            </w:tcBorders>
            <w:vAlign w:val="center"/>
          </w:tcPr>
          <w:p>
            <w:pPr>
              <w:pStyle w:val="TableContents"/>
              <w:bidi w:val="0"/>
              <w:spacing w:lineRule="atLeast" w:line="375"/>
              <w:ind w:hanging="0" w:start="0" w:end="0"/>
              <w:jc w:val="start"/>
              <w:rPr/>
            </w:pPr>
            <w:r>
              <w:rPr>
                <w:caps w:val="false"/>
                <w:smallCaps w:val="false"/>
              </w:rPr>
              <w:t>✅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Fully Compliant</w:t>
            </w:r>
          </w:p>
        </w:tc>
      </w:tr>
      <w:tr>
        <w:trPr/>
        <w:tc>
          <w:tcPr>
            <w:tcW w:w="3627"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Vendor performance tracking (H)</w:t>
            </w:r>
          </w:p>
        </w:tc>
        <w:tc>
          <w:tcPr>
            <w:tcW w:w="4222"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Link contracts to Purchase Orders and Project Tasks. Performance metrics tracked and reported.</w:t>
            </w:r>
          </w:p>
        </w:tc>
        <w:tc>
          <w:tcPr>
            <w:tcW w:w="1789" w:type="dxa"/>
            <w:tcBorders>
              <w:bottom w:val="single" w:sz="2" w:space="0" w:color="000000"/>
            </w:tcBorders>
            <w:vAlign w:val="center"/>
          </w:tcPr>
          <w:p>
            <w:pPr>
              <w:pStyle w:val="TableContents"/>
              <w:bidi w:val="0"/>
              <w:spacing w:lineRule="atLeast" w:line="375"/>
              <w:ind w:hanging="0" w:start="0" w:end="0"/>
              <w:jc w:val="start"/>
              <w:rPr/>
            </w:pPr>
            <w:r>
              <w:rPr>
                <w:caps w:val="false"/>
                <w:smallCaps w:val="false"/>
              </w:rPr>
              <w:t>✅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Compliant</w:t>
            </w:r>
          </w:p>
        </w:tc>
      </w:tr>
      <w:tr>
        <w:trPr/>
        <w:tc>
          <w:tcPr>
            <w:tcW w:w="3627"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Escalation workflows for approvals (H)</w:t>
            </w:r>
          </w:p>
        </w:tc>
        <w:tc>
          <w:tcPr>
            <w:tcW w:w="4222"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Workflow engine triggers manager escalations when approval thresholds exceeded or deadlines approach.</w:t>
            </w:r>
          </w:p>
        </w:tc>
        <w:tc>
          <w:tcPr>
            <w:tcW w:w="1789" w:type="dxa"/>
            <w:tcBorders>
              <w:bottom w:val="single" w:sz="2" w:space="0" w:color="000000"/>
            </w:tcBorders>
            <w:vAlign w:val="center"/>
          </w:tcPr>
          <w:p>
            <w:pPr>
              <w:pStyle w:val="TableContents"/>
              <w:bidi w:val="0"/>
              <w:spacing w:lineRule="atLeast" w:line="375"/>
              <w:ind w:hanging="0" w:start="0" w:end="0"/>
              <w:jc w:val="start"/>
              <w:rPr/>
            </w:pPr>
            <w:r>
              <w:rPr>
                <w:caps w:val="false"/>
                <w:smallCaps w:val="false"/>
              </w:rPr>
              <w:t>✅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Compliant</w:t>
            </w:r>
          </w:p>
        </w:tc>
      </w:tr>
    </w:tbl>
    <w:p>
      <w:pPr>
        <w:pStyle w:val="Heading4"/>
        <w:widowControl/>
        <w:bidi w:val="0"/>
        <w:spacing w:lineRule="atLeast" w:line="420" w:before="24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Module 3: Payment Certification &amp; Drawdown</w:t>
      </w:r>
    </w:p>
    <w:tbl>
      <w:tblPr>
        <w:tblW w:w="9638" w:type="dxa"/>
        <w:jc w:val="start"/>
        <w:tblInd w:w="0" w:type="dxa"/>
        <w:tblLayout w:type="fixed"/>
        <w:tblCellMar>
          <w:top w:w="0" w:type="dxa"/>
          <w:start w:w="0" w:type="dxa"/>
          <w:bottom w:w="150" w:type="dxa"/>
          <w:end w:w="0" w:type="dxa"/>
        </w:tblCellMar>
      </w:tblPr>
      <w:tblGrid>
        <w:gridCol w:w="2557"/>
        <w:gridCol w:w="5220"/>
        <w:gridCol w:w="1861"/>
      </w:tblGrid>
      <w:tr>
        <w:trPr>
          <w:tblHeader w:val="true"/>
        </w:trPr>
        <w:tc>
          <w:tcPr>
            <w:tcW w:w="2557" w:type="dxa"/>
            <w:tcBorders>
              <w:bottom w:val="single" w:sz="2" w:space="0" w:color="000000"/>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RFP Requirement</w:t>
            </w:r>
          </w:p>
        </w:tc>
        <w:tc>
          <w:tcPr>
            <w:tcW w:w="5220" w:type="dxa"/>
            <w:tcBorders>
              <w:bottom w:val="single" w:sz="2" w:space="0" w:color="000000"/>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ERPNext Implementation</w:t>
            </w:r>
          </w:p>
        </w:tc>
        <w:tc>
          <w:tcPr>
            <w:tcW w:w="1861" w:type="dxa"/>
            <w:tcBorders>
              <w:bottom w:val="single" w:sz="2" w:space="0" w:color="000000"/>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Compliance</w:t>
            </w:r>
          </w:p>
        </w:tc>
      </w:tr>
      <w:tr>
        <w:trPr/>
        <w:tc>
          <w:tcPr>
            <w:tcW w:w="2557"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Working Capital Advance (WCA) records (M)</w:t>
            </w:r>
          </w:p>
        </w:tc>
        <w:tc>
          <w:tcPr>
            <w:tcW w:w="5220"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Custom doctype tracking advances against contracts, linked to Purchase Orders for drawdown monitoring.</w:t>
            </w:r>
          </w:p>
        </w:tc>
        <w:tc>
          <w:tcPr>
            <w:tcW w:w="1861" w:type="dxa"/>
            <w:tcBorders>
              <w:bottom w:val="single" w:sz="2" w:space="0" w:color="000000"/>
            </w:tcBorders>
            <w:vAlign w:val="center"/>
          </w:tcPr>
          <w:p>
            <w:pPr>
              <w:pStyle w:val="TableContents"/>
              <w:bidi w:val="0"/>
              <w:spacing w:lineRule="atLeast" w:line="375"/>
              <w:ind w:hanging="0" w:start="0" w:end="0"/>
              <w:jc w:val="start"/>
              <w:rPr/>
            </w:pPr>
            <w:r>
              <w:rPr>
                <w:caps w:val="false"/>
                <w:smallCaps w:val="false"/>
              </w:rPr>
              <w:t>✅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Fully Compliant</w:t>
            </w:r>
          </w:p>
        </w:tc>
      </w:tr>
      <w:tr>
        <w:trPr/>
        <w:tc>
          <w:tcPr>
            <w:tcW w:w="2557"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Drawdown claim submission workflow (M)</w:t>
            </w:r>
          </w:p>
        </w:tc>
        <w:tc>
          <w:tcPr>
            <w:tcW w:w="5220"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Custom Payment Claim doctype with workflow approval stages, linked to projects and contracts.</w:t>
            </w:r>
          </w:p>
        </w:tc>
        <w:tc>
          <w:tcPr>
            <w:tcW w:w="1861" w:type="dxa"/>
            <w:tcBorders>
              <w:bottom w:val="single" w:sz="2" w:space="0" w:color="000000"/>
            </w:tcBorders>
            <w:vAlign w:val="center"/>
          </w:tcPr>
          <w:p>
            <w:pPr>
              <w:pStyle w:val="TableContents"/>
              <w:bidi w:val="0"/>
              <w:spacing w:lineRule="atLeast" w:line="375"/>
              <w:ind w:hanging="0" w:start="0" w:end="0"/>
              <w:jc w:val="start"/>
              <w:rPr/>
            </w:pPr>
            <w:r>
              <w:rPr>
                <w:caps w:val="false"/>
                <w:smallCaps w:val="false"/>
              </w:rPr>
              <w:t>✅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Fully Compliant</w:t>
            </w:r>
          </w:p>
        </w:tc>
      </w:tr>
      <w:tr>
        <w:trPr/>
        <w:tc>
          <w:tcPr>
            <w:tcW w:w="2557"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Payment certificate generation (M)</w:t>
            </w:r>
          </w:p>
        </w:tc>
        <w:tc>
          <w:tcPr>
            <w:tcW w:w="5220"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ERPNext generates formatted Payment Certificates using customizable print formats, pulling data from field imports.</w:t>
            </w:r>
          </w:p>
        </w:tc>
        <w:tc>
          <w:tcPr>
            <w:tcW w:w="1861" w:type="dxa"/>
            <w:tcBorders>
              <w:bottom w:val="single" w:sz="2" w:space="0" w:color="000000"/>
            </w:tcBorders>
            <w:vAlign w:val="center"/>
          </w:tcPr>
          <w:p>
            <w:pPr>
              <w:pStyle w:val="TableContents"/>
              <w:bidi w:val="0"/>
              <w:spacing w:lineRule="atLeast" w:line="375"/>
              <w:ind w:hanging="0" w:start="0" w:end="0"/>
              <w:jc w:val="start"/>
              <w:rPr/>
            </w:pPr>
            <w:r>
              <w:rPr>
                <w:caps w:val="false"/>
                <w:smallCaps w:val="false"/>
              </w:rPr>
              <w:t>✅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Fully Compliant</w:t>
            </w:r>
          </w:p>
        </w:tc>
      </w:tr>
      <w:tr>
        <w:trPr/>
        <w:tc>
          <w:tcPr>
            <w:tcW w:w="2557"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Retention logic and reconciliation (H)</w:t>
            </w:r>
          </w:p>
        </w:tc>
        <w:tc>
          <w:tcPr>
            <w:tcW w:w="5220"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Configure retention percentages in contracts; system automatically calculates and tracks withheld amounts.</w:t>
            </w:r>
          </w:p>
        </w:tc>
        <w:tc>
          <w:tcPr>
            <w:tcW w:w="1861" w:type="dxa"/>
            <w:tcBorders>
              <w:bottom w:val="single" w:sz="2" w:space="0" w:color="000000"/>
            </w:tcBorders>
            <w:vAlign w:val="center"/>
          </w:tcPr>
          <w:p>
            <w:pPr>
              <w:pStyle w:val="TableContents"/>
              <w:bidi w:val="0"/>
              <w:spacing w:lineRule="atLeast" w:line="375"/>
              <w:ind w:hanging="0" w:start="0" w:end="0"/>
              <w:jc w:val="start"/>
              <w:rPr/>
            </w:pPr>
            <w:r>
              <w:rPr>
                <w:caps w:val="false"/>
                <w:smallCaps w:val="false"/>
              </w:rPr>
              <w:t>✅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Compliant</w:t>
            </w:r>
          </w:p>
        </w:tc>
      </w:tr>
    </w:tbl>
    <w:p>
      <w:pPr>
        <w:pStyle w:val="Heading4"/>
        <w:widowControl/>
        <w:bidi w:val="0"/>
        <w:spacing w:lineRule="atLeast" w:line="420" w:before="24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Module 4: Document Management &amp; Audit Trail</w:t>
      </w:r>
    </w:p>
    <w:tbl>
      <w:tblPr>
        <w:tblW w:w="9638" w:type="dxa"/>
        <w:jc w:val="start"/>
        <w:tblInd w:w="0" w:type="dxa"/>
        <w:tblLayout w:type="fixed"/>
        <w:tblCellMar>
          <w:top w:w="0" w:type="dxa"/>
          <w:start w:w="0" w:type="dxa"/>
          <w:bottom w:w="150" w:type="dxa"/>
          <w:end w:w="0" w:type="dxa"/>
        </w:tblCellMar>
      </w:tblPr>
      <w:tblGrid>
        <w:gridCol w:w="2687"/>
        <w:gridCol w:w="5218"/>
        <w:gridCol w:w="1733"/>
      </w:tblGrid>
      <w:tr>
        <w:trPr>
          <w:tblHeader w:val="true"/>
        </w:trPr>
        <w:tc>
          <w:tcPr>
            <w:tcW w:w="2687" w:type="dxa"/>
            <w:tcBorders>
              <w:bottom w:val="single" w:sz="2" w:space="0" w:color="000000"/>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RFP Requirement</w:t>
            </w:r>
          </w:p>
        </w:tc>
        <w:tc>
          <w:tcPr>
            <w:tcW w:w="5218" w:type="dxa"/>
            <w:tcBorders>
              <w:bottom w:val="single" w:sz="2" w:space="0" w:color="000000"/>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ERPNext Implementation</w:t>
            </w:r>
          </w:p>
        </w:tc>
        <w:tc>
          <w:tcPr>
            <w:tcW w:w="1733" w:type="dxa"/>
            <w:tcBorders>
              <w:bottom w:val="single" w:sz="2" w:space="0" w:color="000000"/>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Compliance</w:t>
            </w:r>
          </w:p>
        </w:tc>
      </w:tr>
      <w:tr>
        <w:trPr/>
        <w:tc>
          <w:tcPr>
            <w:tcW w:w="2687"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Document repository with version control (M)</w:t>
            </w:r>
          </w:p>
        </w:tc>
        <w:tc>
          <w:tcPr>
            <w:tcW w:w="5218"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File Manager stores all documents with complete version history. Documents attachable to any record.</w:t>
            </w:r>
          </w:p>
        </w:tc>
        <w:tc>
          <w:tcPr>
            <w:tcW w:w="1733" w:type="dxa"/>
            <w:tcBorders>
              <w:bottom w:val="single" w:sz="2" w:space="0" w:color="000000"/>
            </w:tcBorders>
            <w:vAlign w:val="center"/>
          </w:tcPr>
          <w:p>
            <w:pPr>
              <w:pStyle w:val="TableContents"/>
              <w:bidi w:val="0"/>
              <w:spacing w:lineRule="atLeast" w:line="375"/>
              <w:ind w:hanging="0" w:start="0" w:end="0"/>
              <w:jc w:val="start"/>
              <w:rPr/>
            </w:pPr>
            <w:r>
              <w:rPr>
                <w:caps w:val="false"/>
                <w:smallCaps w:val="false"/>
              </w:rPr>
              <w:t>✅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Fully Compliant</w:t>
            </w:r>
          </w:p>
        </w:tc>
      </w:tr>
      <w:tr>
        <w:trPr/>
        <w:tc>
          <w:tcPr>
            <w:tcW w:w="2687"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Immutable audit log of all user actions (M)</w:t>
            </w:r>
          </w:p>
        </w:tc>
        <w:tc>
          <w:tcPr>
            <w:tcW w:w="5218"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Document Versioning tracks every change: who, what field, when, and from what IP address. All actions logged.</w:t>
            </w:r>
          </w:p>
        </w:tc>
        <w:tc>
          <w:tcPr>
            <w:tcW w:w="1733" w:type="dxa"/>
            <w:tcBorders>
              <w:bottom w:val="single" w:sz="2" w:space="0" w:color="000000"/>
            </w:tcBorders>
            <w:vAlign w:val="center"/>
          </w:tcPr>
          <w:p>
            <w:pPr>
              <w:pStyle w:val="TableContents"/>
              <w:bidi w:val="0"/>
              <w:spacing w:lineRule="atLeast" w:line="375"/>
              <w:ind w:hanging="0" w:start="0" w:end="0"/>
              <w:jc w:val="start"/>
              <w:rPr/>
            </w:pPr>
            <w:r>
              <w:rPr>
                <w:caps w:val="false"/>
                <w:smallCaps w:val="false"/>
              </w:rPr>
              <w:t>✅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Fully Compliant</w:t>
            </w:r>
          </w:p>
        </w:tc>
      </w:tr>
      <w:tr>
        <w:trPr/>
        <w:tc>
          <w:tcPr>
            <w:tcW w:w="2687"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Field-level access control (M)</w:t>
            </w:r>
          </w:p>
        </w:tc>
        <w:tc>
          <w:tcPr>
            <w:tcW w:w="5218"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Role-Based Access Control restricts salary and bank details to authorized roles only.</w:t>
            </w:r>
          </w:p>
        </w:tc>
        <w:tc>
          <w:tcPr>
            <w:tcW w:w="1733" w:type="dxa"/>
            <w:tcBorders>
              <w:bottom w:val="single" w:sz="2" w:space="0" w:color="000000"/>
            </w:tcBorders>
            <w:vAlign w:val="center"/>
          </w:tcPr>
          <w:p>
            <w:pPr>
              <w:pStyle w:val="TableContents"/>
              <w:bidi w:val="0"/>
              <w:spacing w:lineRule="atLeast" w:line="375"/>
              <w:ind w:hanging="0" w:start="0" w:end="0"/>
              <w:jc w:val="start"/>
              <w:rPr/>
            </w:pPr>
            <w:r>
              <w:rPr>
                <w:caps w:val="false"/>
                <w:smallCaps w:val="false"/>
              </w:rPr>
              <w:t>✅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Fully Compliant</w:t>
            </w:r>
          </w:p>
        </w:tc>
      </w:tr>
    </w:tbl>
    <w:p>
      <w:pPr>
        <w:pStyle w:val="Heading4"/>
        <w:widowControl/>
        <w:bidi w:val="0"/>
        <w:spacing w:lineRule="atLeast" w:line="420" w:before="24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Module 5: Governance &amp; Meeting Management</w:t>
      </w:r>
    </w:p>
    <w:tbl>
      <w:tblPr>
        <w:tblW w:w="9638" w:type="dxa"/>
        <w:jc w:val="start"/>
        <w:tblInd w:w="0" w:type="dxa"/>
        <w:tblLayout w:type="fixed"/>
        <w:tblCellMar>
          <w:top w:w="0" w:type="dxa"/>
          <w:start w:w="0" w:type="dxa"/>
          <w:bottom w:w="150" w:type="dxa"/>
          <w:end w:w="0" w:type="dxa"/>
        </w:tblCellMar>
      </w:tblPr>
      <w:tblGrid>
        <w:gridCol w:w="2561"/>
        <w:gridCol w:w="5214"/>
        <w:gridCol w:w="1863"/>
      </w:tblGrid>
      <w:tr>
        <w:trPr>
          <w:tblHeader w:val="true"/>
        </w:trPr>
        <w:tc>
          <w:tcPr>
            <w:tcW w:w="2561" w:type="dxa"/>
            <w:tcBorders>
              <w:bottom w:val="single" w:sz="2" w:space="0" w:color="000000"/>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RFP Requirement</w:t>
            </w:r>
          </w:p>
        </w:tc>
        <w:tc>
          <w:tcPr>
            <w:tcW w:w="5214" w:type="dxa"/>
            <w:tcBorders>
              <w:bottom w:val="single" w:sz="2" w:space="0" w:color="000000"/>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ERPNext Implementation</w:t>
            </w:r>
          </w:p>
        </w:tc>
        <w:tc>
          <w:tcPr>
            <w:tcW w:w="1863" w:type="dxa"/>
            <w:tcBorders>
              <w:bottom w:val="single" w:sz="2" w:space="0" w:color="000000"/>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Compliance</w:t>
            </w:r>
          </w:p>
        </w:tc>
      </w:tr>
      <w:tr>
        <w:trPr/>
        <w:tc>
          <w:tcPr>
            <w:tcW w:w="2561"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Meeting calendar with agenda/minutes (M)</w:t>
            </w:r>
          </w:p>
        </w:tc>
        <w:tc>
          <w:tcPr>
            <w:tcW w:w="5214"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Meeting doctype tracks agendas, attendees, minutes, and decisions; links to projects/contracts/vendors.</w:t>
            </w:r>
          </w:p>
        </w:tc>
        <w:tc>
          <w:tcPr>
            <w:tcW w:w="1863" w:type="dxa"/>
            <w:tcBorders>
              <w:bottom w:val="single" w:sz="2" w:space="0" w:color="000000"/>
            </w:tcBorders>
            <w:vAlign w:val="center"/>
          </w:tcPr>
          <w:p>
            <w:pPr>
              <w:pStyle w:val="TableContents"/>
              <w:bidi w:val="0"/>
              <w:spacing w:lineRule="atLeast" w:line="375"/>
              <w:ind w:hanging="0" w:start="0" w:end="0"/>
              <w:jc w:val="start"/>
              <w:rPr/>
            </w:pPr>
            <w:r>
              <w:rPr>
                <w:caps w:val="false"/>
                <w:smallCaps w:val="false"/>
              </w:rPr>
              <w:t>✅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Fully Compliant</w:t>
            </w:r>
          </w:p>
        </w:tc>
      </w:tr>
      <w:tr>
        <w:trPr/>
        <w:tc>
          <w:tcPr>
            <w:tcW w:w="2561"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Decision records with action items (H)</w:t>
            </w:r>
          </w:p>
        </w:tc>
        <w:tc>
          <w:tcPr>
            <w:tcW w:w="5214"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Action items become ToDos assigned to individuals with due dates; decisions permanently linked to meeting record.</w:t>
            </w:r>
          </w:p>
        </w:tc>
        <w:tc>
          <w:tcPr>
            <w:tcW w:w="1863" w:type="dxa"/>
            <w:tcBorders>
              <w:bottom w:val="single" w:sz="2" w:space="0" w:color="000000"/>
            </w:tcBorders>
            <w:vAlign w:val="center"/>
          </w:tcPr>
          <w:p>
            <w:pPr>
              <w:pStyle w:val="TableContents"/>
              <w:bidi w:val="0"/>
              <w:spacing w:lineRule="atLeast" w:line="375"/>
              <w:ind w:hanging="0" w:start="0" w:end="0"/>
              <w:jc w:val="start"/>
              <w:rPr/>
            </w:pPr>
            <w:r>
              <w:rPr>
                <w:caps w:val="false"/>
                <w:smallCaps w:val="false"/>
              </w:rPr>
              <w:t>✅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Compliant</w:t>
            </w:r>
          </w:p>
        </w:tc>
      </w:tr>
      <w:tr>
        <w:trPr/>
        <w:tc>
          <w:tcPr>
            <w:tcW w:w="2561"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Document versioning for minutes (H)</w:t>
            </w:r>
          </w:p>
        </w:tc>
        <w:tc>
          <w:tcPr>
            <w:tcW w:w="5214"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Meeting minutes stored as documents with full version control.</w:t>
            </w:r>
          </w:p>
        </w:tc>
        <w:tc>
          <w:tcPr>
            <w:tcW w:w="1863" w:type="dxa"/>
            <w:tcBorders>
              <w:bottom w:val="single" w:sz="2" w:space="0" w:color="000000"/>
            </w:tcBorders>
            <w:vAlign w:val="center"/>
          </w:tcPr>
          <w:p>
            <w:pPr>
              <w:pStyle w:val="TableContents"/>
              <w:bidi w:val="0"/>
              <w:spacing w:lineRule="atLeast" w:line="375"/>
              <w:ind w:hanging="0" w:start="0" w:end="0"/>
              <w:jc w:val="start"/>
              <w:rPr/>
            </w:pPr>
            <w:r>
              <w:rPr>
                <w:caps w:val="false"/>
                <w:smallCaps w:val="false"/>
              </w:rPr>
              <w:t>✅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Compliant</w:t>
            </w:r>
          </w:p>
        </w:tc>
      </w:tr>
    </w:tbl>
    <w:p>
      <w:pPr>
        <w:pStyle w:val="Heading4"/>
        <w:widowControl/>
        <w:bidi w:val="0"/>
        <w:spacing w:lineRule="atLeast" w:line="420" w:before="24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Module 6: Reporting &amp; Dashboards</w:t>
      </w:r>
    </w:p>
    <w:tbl>
      <w:tblPr>
        <w:tblW w:w="9638" w:type="dxa"/>
        <w:jc w:val="start"/>
        <w:tblInd w:w="0" w:type="dxa"/>
        <w:tblLayout w:type="fixed"/>
        <w:tblCellMar>
          <w:top w:w="0" w:type="dxa"/>
          <w:start w:w="0" w:type="dxa"/>
          <w:bottom w:w="150" w:type="dxa"/>
          <w:end w:w="0" w:type="dxa"/>
        </w:tblCellMar>
      </w:tblPr>
      <w:tblGrid>
        <w:gridCol w:w="2901"/>
        <w:gridCol w:w="5005"/>
        <w:gridCol w:w="1732"/>
      </w:tblGrid>
      <w:tr>
        <w:trPr>
          <w:tblHeader w:val="true"/>
        </w:trPr>
        <w:tc>
          <w:tcPr>
            <w:tcW w:w="2901" w:type="dxa"/>
            <w:tcBorders>
              <w:bottom w:val="single" w:sz="2" w:space="0" w:color="000000"/>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RFP Requirement</w:t>
            </w:r>
          </w:p>
        </w:tc>
        <w:tc>
          <w:tcPr>
            <w:tcW w:w="5005" w:type="dxa"/>
            <w:tcBorders>
              <w:bottom w:val="single" w:sz="2" w:space="0" w:color="000000"/>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ERPNext Implementation</w:t>
            </w:r>
          </w:p>
        </w:tc>
        <w:tc>
          <w:tcPr>
            <w:tcW w:w="1732" w:type="dxa"/>
            <w:tcBorders>
              <w:bottom w:val="single" w:sz="2" w:space="0" w:color="000000"/>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Compliance</w:t>
            </w:r>
          </w:p>
        </w:tc>
      </w:tr>
      <w:tr>
        <w:trPr/>
        <w:tc>
          <w:tcPr>
            <w:tcW w:w="2901"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Programme dashboards with real-time KPIs (M)</w:t>
            </w:r>
          </w:p>
        </w:tc>
        <w:tc>
          <w:tcPr>
            <w:tcW w:w="5005"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Custom Dashboards provide real-time metrics: milestone completion, contract utilization, payment status.</w:t>
            </w:r>
          </w:p>
        </w:tc>
        <w:tc>
          <w:tcPr>
            <w:tcW w:w="1732" w:type="dxa"/>
            <w:tcBorders>
              <w:bottom w:val="single" w:sz="2" w:space="0" w:color="000000"/>
            </w:tcBorders>
            <w:vAlign w:val="center"/>
          </w:tcPr>
          <w:p>
            <w:pPr>
              <w:pStyle w:val="TableContents"/>
              <w:bidi w:val="0"/>
              <w:spacing w:lineRule="atLeast" w:line="375"/>
              <w:ind w:hanging="0" w:start="0" w:end="0"/>
              <w:jc w:val="start"/>
              <w:rPr/>
            </w:pPr>
            <w:r>
              <w:rPr>
                <w:caps w:val="false"/>
                <w:smallCaps w:val="false"/>
              </w:rPr>
              <w:t>✅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Fully Compliant</w:t>
            </w:r>
          </w:p>
        </w:tc>
      </w:tr>
      <w:tr>
        <w:trPr/>
        <w:tc>
          <w:tcPr>
            <w:tcW w:w="2901"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Financial reports (contract summaries, variance) (M)</w:t>
            </w:r>
          </w:p>
        </w:tc>
        <w:tc>
          <w:tcPr>
            <w:tcW w:w="5005"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Generate commitment registers, payment forecasts, and variance reports from live data.</w:t>
            </w:r>
          </w:p>
        </w:tc>
        <w:tc>
          <w:tcPr>
            <w:tcW w:w="1732" w:type="dxa"/>
            <w:tcBorders>
              <w:bottom w:val="single" w:sz="2" w:space="0" w:color="000000"/>
            </w:tcBorders>
            <w:vAlign w:val="center"/>
          </w:tcPr>
          <w:p>
            <w:pPr>
              <w:pStyle w:val="TableContents"/>
              <w:bidi w:val="0"/>
              <w:spacing w:lineRule="atLeast" w:line="375"/>
              <w:ind w:hanging="0" w:start="0" w:end="0"/>
              <w:jc w:val="start"/>
              <w:rPr/>
            </w:pPr>
            <w:r>
              <w:rPr>
                <w:caps w:val="false"/>
                <w:smallCaps w:val="false"/>
              </w:rPr>
              <w:t>✅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Fully Compliant</w:t>
            </w:r>
          </w:p>
        </w:tc>
      </w:tr>
      <w:tr>
        <w:trPr/>
        <w:tc>
          <w:tcPr>
            <w:tcW w:w="2901"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Export in open formats (CSV, JSON, PDF) (M)</w:t>
            </w:r>
          </w:p>
        </w:tc>
        <w:tc>
          <w:tcPr>
            <w:tcW w:w="5005"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All reports export to CSV, JSON, and PDF. No proprietary lock-in.</w:t>
            </w:r>
          </w:p>
        </w:tc>
        <w:tc>
          <w:tcPr>
            <w:tcW w:w="1732" w:type="dxa"/>
            <w:tcBorders>
              <w:bottom w:val="single" w:sz="2" w:space="0" w:color="000000"/>
            </w:tcBorders>
            <w:vAlign w:val="center"/>
          </w:tcPr>
          <w:p>
            <w:pPr>
              <w:pStyle w:val="TableContents"/>
              <w:bidi w:val="0"/>
              <w:spacing w:lineRule="atLeast" w:line="375"/>
              <w:ind w:hanging="0" w:start="0" w:end="0"/>
              <w:jc w:val="start"/>
              <w:rPr/>
            </w:pPr>
            <w:r>
              <w:rPr>
                <w:caps w:val="false"/>
                <w:smallCaps w:val="false"/>
              </w:rPr>
              <w:t>✅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Fully Compliant</w:t>
            </w:r>
          </w:p>
        </w:tc>
      </w:tr>
    </w:tbl>
    <w:p>
      <w:pPr>
        <w:pStyle w:val="Heading4"/>
        <w:widowControl/>
        <w:bidi w:val="0"/>
        <w:spacing w:lineRule="atLeast" w:line="420" w:before="24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Module 7: HR Management (Full)</w:t>
      </w:r>
    </w:p>
    <w:tbl>
      <w:tblPr>
        <w:tblW w:w="9638" w:type="dxa"/>
        <w:jc w:val="start"/>
        <w:tblInd w:w="0" w:type="dxa"/>
        <w:tblLayout w:type="fixed"/>
        <w:tblCellMar>
          <w:top w:w="0" w:type="dxa"/>
          <w:start w:w="0" w:type="dxa"/>
          <w:bottom w:w="150" w:type="dxa"/>
          <w:end w:w="0" w:type="dxa"/>
        </w:tblCellMar>
      </w:tblPr>
      <w:tblGrid>
        <w:gridCol w:w="2860"/>
        <w:gridCol w:w="4913"/>
        <w:gridCol w:w="1865"/>
      </w:tblGrid>
      <w:tr>
        <w:trPr>
          <w:tblHeader w:val="true"/>
        </w:trPr>
        <w:tc>
          <w:tcPr>
            <w:tcW w:w="2860" w:type="dxa"/>
            <w:tcBorders>
              <w:bottom w:val="single" w:sz="2" w:space="0" w:color="000000"/>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RFP Requirement</w:t>
            </w:r>
          </w:p>
        </w:tc>
        <w:tc>
          <w:tcPr>
            <w:tcW w:w="4913" w:type="dxa"/>
            <w:tcBorders>
              <w:bottom w:val="single" w:sz="2" w:space="0" w:color="000000"/>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ERPNext Implementation</w:t>
            </w:r>
          </w:p>
        </w:tc>
        <w:tc>
          <w:tcPr>
            <w:tcW w:w="1865" w:type="dxa"/>
            <w:tcBorders>
              <w:bottom w:val="single" w:sz="2" w:space="0" w:color="000000"/>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Compliance</w:t>
            </w:r>
          </w:p>
        </w:tc>
      </w:tr>
      <w:tr>
        <w:trPr/>
        <w:tc>
          <w:tcPr>
            <w:tcW w:w="2860"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Employee records with full personnel files (M)</w:t>
            </w:r>
          </w:p>
        </w:tc>
        <w:tc>
          <w:tcPr>
            <w:tcW w:w="4913"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Complete digital files: contact details, contracts, qualifications, bank details, emergency contacts.</w:t>
            </w:r>
          </w:p>
        </w:tc>
        <w:tc>
          <w:tcPr>
            <w:tcW w:w="1865" w:type="dxa"/>
            <w:tcBorders>
              <w:bottom w:val="single" w:sz="2" w:space="0" w:color="000000"/>
            </w:tcBorders>
            <w:vAlign w:val="center"/>
          </w:tcPr>
          <w:p>
            <w:pPr>
              <w:pStyle w:val="TableContents"/>
              <w:bidi w:val="0"/>
              <w:spacing w:lineRule="atLeast" w:line="375"/>
              <w:ind w:hanging="0" w:start="0" w:end="0"/>
              <w:jc w:val="start"/>
              <w:rPr/>
            </w:pPr>
            <w:r>
              <w:rPr>
                <w:caps w:val="false"/>
                <w:smallCaps w:val="false"/>
              </w:rPr>
              <w:t>✅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Fully Compliant</w:t>
            </w:r>
          </w:p>
        </w:tc>
      </w:tr>
      <w:tr>
        <w:trPr/>
        <w:tc>
          <w:tcPr>
            <w:tcW w:w="2860"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Payroll calculation engine (M)</w:t>
            </w:r>
          </w:p>
        </w:tc>
        <w:tc>
          <w:tcPr>
            <w:tcW w:w="4913"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Full-featured payroll with salary structures, allowances, deductions, and automated Salary Slip generation.</w:t>
            </w:r>
          </w:p>
        </w:tc>
        <w:tc>
          <w:tcPr>
            <w:tcW w:w="1865" w:type="dxa"/>
            <w:tcBorders>
              <w:bottom w:val="single" w:sz="2" w:space="0" w:color="000000"/>
            </w:tcBorders>
            <w:vAlign w:val="center"/>
          </w:tcPr>
          <w:p>
            <w:pPr>
              <w:pStyle w:val="TableContents"/>
              <w:bidi w:val="0"/>
              <w:spacing w:lineRule="atLeast" w:line="375"/>
              <w:ind w:hanging="0" w:start="0" w:end="0"/>
              <w:jc w:val="start"/>
              <w:rPr/>
            </w:pPr>
            <w:r>
              <w:rPr>
                <w:caps w:val="false"/>
                <w:smallCaps w:val="false"/>
              </w:rPr>
              <w:t>✅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Fully Compliant</w:t>
            </w:r>
          </w:p>
        </w:tc>
      </w:tr>
      <w:tr>
        <w:trPr/>
        <w:tc>
          <w:tcPr>
            <w:tcW w:w="2860"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Nigerian statutory deductions (M)</w:t>
            </w:r>
          </w:p>
        </w:tc>
        <w:tc>
          <w:tcPr>
            <w:tcW w:w="4913"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Native support for PAYE, Pension (7%/8%), NHF, NSITF. Configurable tax brackets and formulas.</w:t>
            </w:r>
          </w:p>
        </w:tc>
        <w:tc>
          <w:tcPr>
            <w:tcW w:w="1865" w:type="dxa"/>
            <w:tcBorders>
              <w:bottom w:val="single" w:sz="2" w:space="0" w:color="000000"/>
            </w:tcBorders>
            <w:vAlign w:val="center"/>
          </w:tcPr>
          <w:p>
            <w:pPr>
              <w:pStyle w:val="TableContents"/>
              <w:bidi w:val="0"/>
              <w:spacing w:lineRule="atLeast" w:line="375"/>
              <w:ind w:hanging="0" w:start="0" w:end="0"/>
              <w:jc w:val="start"/>
              <w:rPr/>
            </w:pPr>
            <w:r>
              <w:rPr>
                <w:caps w:val="false"/>
                <w:smallCaps w:val="false"/>
              </w:rPr>
              <w:t>✅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Fully Compliant</w:t>
            </w:r>
          </w:p>
        </w:tc>
      </w:tr>
      <w:tr>
        <w:trPr/>
        <w:tc>
          <w:tcPr>
            <w:tcW w:w="2860"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Bulk staff onboarding (M)</w:t>
            </w:r>
          </w:p>
        </w:tc>
        <w:tc>
          <w:tcPr>
            <w:tcW w:w="4913"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Data Import Tool validates and imports employee records in bulk against predefined templates.</w:t>
            </w:r>
          </w:p>
        </w:tc>
        <w:tc>
          <w:tcPr>
            <w:tcW w:w="1865" w:type="dxa"/>
            <w:tcBorders>
              <w:bottom w:val="single" w:sz="2" w:space="0" w:color="000000"/>
            </w:tcBorders>
            <w:vAlign w:val="center"/>
          </w:tcPr>
          <w:p>
            <w:pPr>
              <w:pStyle w:val="TableContents"/>
              <w:bidi w:val="0"/>
              <w:spacing w:lineRule="atLeast" w:line="375"/>
              <w:ind w:hanging="0" w:start="0" w:end="0"/>
              <w:jc w:val="start"/>
              <w:rPr/>
            </w:pPr>
            <w:r>
              <w:rPr>
                <w:caps w:val="false"/>
                <w:smallCaps w:val="false"/>
              </w:rPr>
              <w:t>✅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Fully Compliant</w:t>
            </w:r>
          </w:p>
        </w:tc>
      </w:tr>
      <w:tr>
        <w:trPr/>
        <w:tc>
          <w:tcPr>
            <w:tcW w:w="2860"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Attendance tracking (M)</w:t>
            </w:r>
          </w:p>
        </w:tc>
        <w:tc>
          <w:tcPr>
            <w:tcW w:w="4913"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Multiple methods: manual entry, biometric integration, mobile-based capture.</w:t>
            </w:r>
          </w:p>
        </w:tc>
        <w:tc>
          <w:tcPr>
            <w:tcW w:w="1865" w:type="dxa"/>
            <w:tcBorders>
              <w:bottom w:val="single" w:sz="2" w:space="0" w:color="000000"/>
            </w:tcBorders>
            <w:vAlign w:val="center"/>
          </w:tcPr>
          <w:p>
            <w:pPr>
              <w:pStyle w:val="TableContents"/>
              <w:bidi w:val="0"/>
              <w:spacing w:lineRule="atLeast" w:line="375"/>
              <w:ind w:hanging="0" w:start="0" w:end="0"/>
              <w:jc w:val="start"/>
              <w:rPr/>
            </w:pPr>
            <w:r>
              <w:rPr>
                <w:caps w:val="false"/>
                <w:smallCaps w:val="false"/>
              </w:rPr>
              <w:t>✅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Fully Compliant</w:t>
            </w:r>
          </w:p>
        </w:tc>
      </w:tr>
      <w:tr>
        <w:trPr/>
        <w:tc>
          <w:tcPr>
            <w:tcW w:w="2860"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Offline attendance forms (H)</w:t>
            </w:r>
          </w:p>
        </w:tc>
        <w:tc>
          <w:tcPr>
            <w:tcW w:w="4913"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Mobile app allows field data entry with background sync when connectivity returns.</w:t>
            </w:r>
          </w:p>
        </w:tc>
        <w:tc>
          <w:tcPr>
            <w:tcW w:w="1865" w:type="dxa"/>
            <w:tcBorders>
              <w:bottom w:val="single" w:sz="2" w:space="0" w:color="000000"/>
            </w:tcBorders>
            <w:vAlign w:val="center"/>
          </w:tcPr>
          <w:p>
            <w:pPr>
              <w:pStyle w:val="TableContents"/>
              <w:bidi w:val="0"/>
              <w:spacing w:lineRule="atLeast" w:line="375"/>
              <w:ind w:hanging="0" w:start="0" w:end="0"/>
              <w:jc w:val="start"/>
              <w:rPr/>
            </w:pPr>
            <w:r>
              <w:rPr>
                <w:caps w:val="false"/>
                <w:smallCaps w:val="false"/>
              </w:rPr>
              <w:t>✅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Compliant</w:t>
            </w:r>
          </w:p>
        </w:tc>
      </w:tr>
      <w:tr>
        <w:trPr/>
        <w:tc>
          <w:tcPr>
            <w:tcW w:w="2860"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HR reporting (staff lists, leave balances, training) (H)</w:t>
            </w:r>
          </w:p>
        </w:tc>
        <w:tc>
          <w:tcPr>
            <w:tcW w:w="4913"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Comprehensive HR reports: headcount, leave analytics, payroll summaries, training records.</w:t>
            </w:r>
          </w:p>
        </w:tc>
        <w:tc>
          <w:tcPr>
            <w:tcW w:w="1865" w:type="dxa"/>
            <w:tcBorders>
              <w:bottom w:val="single" w:sz="2" w:space="0" w:color="000000"/>
            </w:tcBorders>
            <w:vAlign w:val="center"/>
          </w:tcPr>
          <w:p>
            <w:pPr>
              <w:pStyle w:val="TableContents"/>
              <w:bidi w:val="0"/>
              <w:spacing w:lineRule="atLeast" w:line="375"/>
              <w:ind w:hanging="0" w:start="0" w:end="0"/>
              <w:jc w:val="start"/>
              <w:rPr/>
            </w:pPr>
            <w:r>
              <w:rPr>
                <w:caps w:val="false"/>
                <w:smallCaps w:val="false"/>
              </w:rPr>
              <w:t>✅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Compliant</w:t>
            </w:r>
          </w:p>
        </w:tc>
      </w:tr>
    </w:tbl>
    <w:p>
      <w:pPr>
        <w:pStyle w:val="BodyText"/>
        <w:bidi w:val="0"/>
        <w:jc w:val="start"/>
        <w:rPr/>
      </w:pPr>
      <w:r>
        <w:rPr/>
        <w:br/>
      </w:r>
    </w:p>
    <w:p>
      <w:pPr>
        <w:pStyle w:val="Heading2"/>
        <w:bidi w:val="0"/>
        <w:spacing w:lineRule="atLeast" w:line="48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3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33"/>
        </w:rPr>
        <w:t>Technical Requirements Mapping</w:t>
      </w:r>
    </w:p>
    <w:p>
      <w:pPr>
        <w:pStyle w:val="Heading3"/>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30"/>
        </w:rPr>
        <w:t>Hosting &amp; Infrastructure</w:t>
      </w:r>
    </w:p>
    <w:tbl>
      <w:tblPr>
        <w:tblW w:w="9638" w:type="dxa"/>
        <w:jc w:val="start"/>
        <w:tblInd w:w="0" w:type="dxa"/>
        <w:tblLayout w:type="fixed"/>
        <w:tblCellMar>
          <w:top w:w="0" w:type="dxa"/>
          <w:start w:w="0" w:type="dxa"/>
          <w:bottom w:w="150" w:type="dxa"/>
          <w:end w:w="0" w:type="dxa"/>
        </w:tblCellMar>
      </w:tblPr>
      <w:tblGrid>
        <w:gridCol w:w="3105"/>
        <w:gridCol w:w="6533"/>
      </w:tblGrid>
      <w:tr>
        <w:trPr>
          <w:tblHeader w:val="true"/>
        </w:trPr>
        <w:tc>
          <w:tcPr>
            <w:tcW w:w="3105" w:type="dxa"/>
            <w:tcBorders>
              <w:bottom w:val="single" w:sz="2" w:space="0" w:color="000000"/>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RFP Requirement</w:t>
            </w:r>
          </w:p>
        </w:tc>
        <w:tc>
          <w:tcPr>
            <w:tcW w:w="6533" w:type="dxa"/>
            <w:tcBorders>
              <w:bottom w:val="single" w:sz="2" w:space="0" w:color="000000"/>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ERPNext Implementation</w:t>
            </w:r>
          </w:p>
        </w:tc>
      </w:tr>
      <w:tr>
        <w:trPr/>
        <w:tc>
          <w:tcPr>
            <w:tcW w:w="3105" w:type="dxa"/>
            <w:tcBorders>
              <w:bottom w:val="single" w:sz="2" w:space="0" w:color="000000"/>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Cloud-hosted with data residency</w:t>
            </w:r>
          </w:p>
        </w:tc>
        <w:tc>
          <w:tcPr>
            <w:tcW w:w="6533"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Deploy on any cloud provider (AWS, Azure, Google, or local Nigerian providers) with servers in your chosen jurisdiction.</w:t>
            </w:r>
          </w:p>
        </w:tc>
      </w:tr>
      <w:tr>
        <w:trPr/>
        <w:tc>
          <w:tcPr>
            <w:tcW w:w="3105" w:type="dxa"/>
            <w:tcBorders>
              <w:bottom w:val="single" w:sz="2" w:space="0" w:color="000000"/>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99.5% uptime SLA</w:t>
            </w:r>
          </w:p>
        </w:tc>
        <w:tc>
          <w:tcPr>
            <w:tcW w:w="6533"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Multi-server architecture with load balancing and failover capabilities.</w:t>
            </w:r>
          </w:p>
        </w:tc>
      </w:tr>
      <w:tr>
        <w:trPr/>
        <w:tc>
          <w:tcPr>
            <w:tcW w:w="3105" w:type="dxa"/>
            <w:tcBorders>
              <w:bottom w:val="single" w:sz="2" w:space="0" w:color="000000"/>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Automated backups with RPO 1hr / RTO 4hrs</w:t>
            </w:r>
          </w:p>
        </w:tc>
        <w:tc>
          <w:tcPr>
            <w:tcW w:w="6533"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Daily full backups + binary logs for point-in-time recovery. Restore procedures documented and tested.</w:t>
            </w:r>
          </w:p>
        </w:tc>
      </w:tr>
      <w:tr>
        <w:trPr/>
        <w:tc>
          <w:tcPr>
            <w:tcW w:w="3105" w:type="dxa"/>
            <w:tcBorders>
              <w:bottom w:val="single" w:sz="2" w:space="0" w:color="000000"/>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50 concurrent users minimum</w:t>
            </w:r>
          </w:p>
        </w:tc>
        <w:tc>
          <w:tcPr>
            <w:tcW w:w="6533" w:type="dxa"/>
            <w:tcBorders>
              <w:bottom w:val="single" w:sz="2" w:space="0" w:color="000000"/>
            </w:tcBorders>
            <w:vAlign w:val="center"/>
          </w:tcPr>
          <w:p>
            <w:pPr>
              <w:pStyle w:val="TableContents"/>
              <w:bidi w:val="0"/>
              <w:spacing w:lineRule="atLeast" w:line="375"/>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ERPNext scales horizontally; benchmarked for hundreds of concurrent users.</w:t>
            </w:r>
          </w:p>
        </w:tc>
      </w:tr>
    </w:tbl>
    <w:p>
      <w:pPr>
        <w:pStyle w:val="Heading3"/>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30"/>
        </w:rPr>
        <w:t>Security</w:t>
      </w:r>
    </w:p>
    <w:tbl>
      <w:tblPr>
        <w:tblW w:w="9638" w:type="dxa"/>
        <w:jc w:val="start"/>
        <w:tblInd w:w="0" w:type="dxa"/>
        <w:tblLayout w:type="fixed"/>
        <w:tblCellMar>
          <w:top w:w="0" w:type="dxa"/>
          <w:start w:w="0" w:type="dxa"/>
          <w:bottom w:w="150" w:type="dxa"/>
          <w:end w:w="0" w:type="dxa"/>
        </w:tblCellMar>
      </w:tblPr>
      <w:tblGrid>
        <w:gridCol w:w="3482"/>
        <w:gridCol w:w="6156"/>
      </w:tblGrid>
      <w:tr>
        <w:trPr>
          <w:tblHeader w:val="true"/>
        </w:trPr>
        <w:tc>
          <w:tcPr>
            <w:tcW w:w="3482" w:type="dxa"/>
            <w:tcBorders>
              <w:bottom w:val="single" w:sz="2" w:space="0" w:color="000000"/>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RFP Requirement</w:t>
            </w:r>
          </w:p>
        </w:tc>
        <w:tc>
          <w:tcPr>
            <w:tcW w:w="6156" w:type="dxa"/>
            <w:tcBorders>
              <w:bottom w:val="single" w:sz="2" w:space="0" w:color="000000"/>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ERPNext Implementation</w:t>
            </w:r>
          </w:p>
        </w:tc>
      </w:tr>
      <w:tr>
        <w:trPr/>
        <w:tc>
          <w:tcPr>
            <w:tcW w:w="3482" w:type="dxa"/>
            <w:tcBorders>
              <w:bottom w:val="single" w:sz="2" w:space="0" w:color="000000"/>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Encryption in transit (TLS 1.2+) and at rest (AES-256)</w:t>
            </w:r>
          </w:p>
        </w:tc>
        <w:tc>
          <w:tcPr>
            <w:tcW w:w="6156"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TLS 1.3 supported for web traffic. Database encryption available at storage level.</w:t>
            </w:r>
          </w:p>
        </w:tc>
      </w:tr>
      <w:tr>
        <w:trPr/>
        <w:tc>
          <w:tcPr>
            <w:tcW w:w="3482" w:type="dxa"/>
            <w:tcBorders>
              <w:bottom w:val="single" w:sz="2" w:space="0" w:color="000000"/>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Two-factor authentication (2FA)</w:t>
            </w:r>
          </w:p>
        </w:tc>
        <w:tc>
          <w:tcPr>
            <w:tcW w:w="6156"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Native 2FA support; configurable by role (mandatory for Tiers 1-4) .</w:t>
            </w:r>
          </w:p>
        </w:tc>
      </w:tr>
      <w:tr>
        <w:trPr/>
        <w:tc>
          <w:tcPr>
            <w:tcW w:w="3482" w:type="dxa"/>
            <w:tcBorders>
              <w:bottom w:val="single" w:sz="2" w:space="0" w:color="000000"/>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Role-Based Access Control (RBAC)</w:t>
            </w:r>
          </w:p>
        </w:tc>
        <w:tc>
          <w:tcPr>
            <w:tcW w:w="6156"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Granular permissions: module-level, record-level, and field-level. HR financial fields restricted to authorized roles .</w:t>
            </w:r>
          </w:p>
        </w:tc>
      </w:tr>
      <w:tr>
        <w:trPr/>
        <w:tc>
          <w:tcPr>
            <w:tcW w:w="3482" w:type="dxa"/>
            <w:tcBorders>
              <w:bottom w:val="single" w:sz="2" w:space="0" w:color="000000"/>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Immutable audit log</w:t>
            </w:r>
          </w:p>
        </w:tc>
        <w:tc>
          <w:tcPr>
            <w:tcW w:w="6156"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Document Versioning captures all changes; separate Activity Log tracks logins and exports .</w:t>
            </w:r>
          </w:p>
        </w:tc>
      </w:tr>
      <w:tr>
        <w:trPr/>
        <w:tc>
          <w:tcPr>
            <w:tcW w:w="3482" w:type="dxa"/>
            <w:tcBorders>
              <w:bottom w:val="single" w:sz="2" w:space="0" w:color="000000"/>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Penetration testing</w:t>
            </w:r>
          </w:p>
        </w:tc>
        <w:tc>
          <w:tcPr>
            <w:tcW w:w="6156" w:type="dxa"/>
            <w:tcBorders>
              <w:bottom w:val="single" w:sz="2" w:space="0" w:color="000000"/>
            </w:tcBorders>
            <w:vAlign w:val="center"/>
          </w:tcPr>
          <w:p>
            <w:pPr>
              <w:pStyle w:val="TableContents"/>
              <w:bidi w:val="0"/>
              <w:spacing w:lineRule="atLeast" w:line="375"/>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Pre-go-live security audit conducted; findings remediated before production.</w:t>
            </w:r>
          </w:p>
        </w:tc>
      </w:tr>
    </w:tbl>
    <w:p>
      <w:pPr>
        <w:pStyle w:val="Heading3"/>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30"/>
        </w:rPr>
        <w:t>Field Data Tool (FDT) Integration</w:t>
      </w:r>
    </w:p>
    <w:tbl>
      <w:tblPr>
        <w:tblW w:w="9638" w:type="dxa"/>
        <w:jc w:val="start"/>
        <w:tblInd w:w="0" w:type="dxa"/>
        <w:tblLayout w:type="fixed"/>
        <w:tblCellMar>
          <w:top w:w="0" w:type="dxa"/>
          <w:start w:w="0" w:type="dxa"/>
          <w:bottom w:w="150" w:type="dxa"/>
          <w:end w:w="0" w:type="dxa"/>
        </w:tblCellMar>
      </w:tblPr>
      <w:tblGrid>
        <w:gridCol w:w="2378"/>
        <w:gridCol w:w="7260"/>
      </w:tblGrid>
      <w:tr>
        <w:trPr>
          <w:tblHeader w:val="true"/>
        </w:trPr>
        <w:tc>
          <w:tcPr>
            <w:tcW w:w="2378" w:type="dxa"/>
            <w:tcBorders>
              <w:bottom w:val="single" w:sz="2" w:space="0" w:color="000000"/>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RFP Requirement</w:t>
            </w:r>
          </w:p>
        </w:tc>
        <w:tc>
          <w:tcPr>
            <w:tcW w:w="7260" w:type="dxa"/>
            <w:tcBorders>
              <w:bottom w:val="single" w:sz="2" w:space="0" w:color="000000"/>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ERPNext Implementation</w:t>
            </w:r>
          </w:p>
        </w:tc>
      </w:tr>
      <w:tr>
        <w:trPr/>
        <w:tc>
          <w:tcPr>
            <w:tcW w:w="2378" w:type="dxa"/>
            <w:tcBorders>
              <w:bottom w:val="single" w:sz="2" w:space="0" w:color="000000"/>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CSV import with validation</w:t>
            </w:r>
          </w:p>
        </w:tc>
        <w:tc>
          <w:tcPr>
            <w:tcW w:w="7260"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Custom "Field Data Import" tool using Frappe framework: validates against schema, checks duplicates, logs errors.</w:t>
            </w:r>
          </w:p>
        </w:tc>
      </w:tr>
      <w:tr>
        <w:trPr/>
        <w:tc>
          <w:tcPr>
            <w:tcW w:w="2378" w:type="dxa"/>
            <w:tcBorders>
              <w:bottom w:val="single" w:sz="2" w:space="0" w:color="000000"/>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Immutable import log</w:t>
            </w:r>
          </w:p>
        </w:tc>
        <w:tc>
          <w:tcPr>
            <w:tcW w:w="7260"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Each import creates a permanent record; imported data cannot be edited, only viewed.</w:t>
            </w:r>
          </w:p>
        </w:tc>
      </w:tr>
      <w:tr>
        <w:trPr/>
        <w:tc>
          <w:tcPr>
            <w:tcW w:w="2378" w:type="dxa"/>
            <w:tcBorders>
              <w:bottom w:val="single" w:sz="2" w:space="0" w:color="000000"/>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REST API (Phase 2)</w:t>
            </w:r>
          </w:p>
        </w:tc>
        <w:tc>
          <w:tcPr>
            <w:tcW w:w="7260"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Secure OAuth 2.0 endpoints for automated data push; full API documentation.</w:t>
            </w:r>
          </w:p>
        </w:tc>
      </w:tr>
      <w:tr>
        <w:trPr/>
        <w:tc>
          <w:tcPr>
            <w:tcW w:w="2378" w:type="dxa"/>
            <w:tcBorders>
              <w:bottom w:val="single" w:sz="2" w:space="0" w:color="000000"/>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Discrepancy flagging</w:t>
            </w:r>
          </w:p>
        </w:tc>
        <w:tc>
          <w:tcPr>
            <w:tcW w:w="7260" w:type="dxa"/>
            <w:tcBorders>
              <w:bottom w:val="single" w:sz="2" w:space="0" w:color="000000"/>
            </w:tcBorders>
            <w:vAlign w:val="center"/>
          </w:tcPr>
          <w:p>
            <w:pPr>
              <w:pStyle w:val="TableContents"/>
              <w:bidi w:val="0"/>
              <w:spacing w:lineRule="atLeast" w:line="375"/>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System flags mismatches between field data and payment claims; holds for manual resolution.</w:t>
            </w:r>
          </w:p>
        </w:tc>
      </w:tr>
    </w:tbl>
    <w:p>
      <w:pPr>
        <w:pStyle w:val="Heading3"/>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30"/>
        </w:rPr>
        <w:t>Offline &amp; Mobile</w:t>
      </w:r>
    </w:p>
    <w:tbl>
      <w:tblPr>
        <w:tblW w:w="9638" w:type="dxa"/>
        <w:jc w:val="start"/>
        <w:tblInd w:w="0" w:type="dxa"/>
        <w:tblLayout w:type="fixed"/>
        <w:tblCellMar>
          <w:top w:w="0" w:type="dxa"/>
          <w:start w:w="0" w:type="dxa"/>
          <w:bottom w:w="150" w:type="dxa"/>
          <w:end w:w="0" w:type="dxa"/>
        </w:tblCellMar>
      </w:tblPr>
      <w:tblGrid>
        <w:gridCol w:w="2934"/>
        <w:gridCol w:w="6704"/>
      </w:tblGrid>
      <w:tr>
        <w:trPr>
          <w:tblHeader w:val="true"/>
        </w:trPr>
        <w:tc>
          <w:tcPr>
            <w:tcW w:w="2934" w:type="dxa"/>
            <w:tcBorders>
              <w:bottom w:val="single" w:sz="2" w:space="0" w:color="000000"/>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RFP Requirement</w:t>
            </w:r>
          </w:p>
        </w:tc>
        <w:tc>
          <w:tcPr>
            <w:tcW w:w="6704" w:type="dxa"/>
            <w:tcBorders>
              <w:bottom w:val="single" w:sz="2" w:space="0" w:color="000000"/>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ERPNext Implementation</w:t>
            </w:r>
          </w:p>
        </w:tc>
      </w:tr>
      <w:tr>
        <w:trPr/>
        <w:tc>
          <w:tcPr>
            <w:tcW w:w="2934" w:type="dxa"/>
            <w:tcBorders>
              <w:bottom w:val="single" w:sz="2" w:space="0" w:color="000000"/>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Mobile browser access</w:t>
            </w:r>
          </w:p>
        </w:tc>
        <w:tc>
          <w:tcPr>
            <w:tcW w:w="6704"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 xml:space="preserve">Fully responsive web interface works on all modern mobile browsers .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We will utilize the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ERPNext Mobile App</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framework. HR staff can download attendance and deployment forms while online. In the field, they can fill and save these forms on the device. When an internet connection is detected, the app will automatically sync the data to the central server with full background synchronization .</w:t>
            </w:r>
          </w:p>
        </w:tc>
      </w:tr>
      <w:tr>
        <w:trPr/>
        <w:tc>
          <w:tcPr>
            <w:tcW w:w="2934" w:type="dxa"/>
            <w:tcBorders>
              <w:bottom w:val="single" w:sz="2" w:space="0" w:color="000000"/>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Offline data entry with background sync</w:t>
            </w:r>
          </w:p>
        </w:tc>
        <w:tc>
          <w:tcPr>
            <w:tcW w:w="6704" w:type="dxa"/>
            <w:tcBorders>
              <w:bottom w:val="single" w:sz="2" w:space="0" w:color="000000"/>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ERPNext Mobile App</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 (or custom mobile form) allows data entry offline; syncs automatically when connection resumes .</w:t>
            </w:r>
          </w:p>
        </w:tc>
      </w:tr>
    </w:tbl>
    <w:p>
      <w:pPr>
        <w:pStyle w:val="Heading3"/>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30"/>
        </w:rPr>
        <w:t>Data Ownership &amp; Exit</w:t>
      </w:r>
    </w:p>
    <w:tbl>
      <w:tblPr>
        <w:tblW w:w="9638" w:type="dxa"/>
        <w:jc w:val="start"/>
        <w:tblInd w:w="0" w:type="dxa"/>
        <w:tblLayout w:type="fixed"/>
        <w:tblCellMar>
          <w:top w:w="0" w:type="dxa"/>
          <w:start w:w="0" w:type="dxa"/>
          <w:bottom w:w="150" w:type="dxa"/>
          <w:end w:w="0" w:type="dxa"/>
        </w:tblCellMar>
      </w:tblPr>
      <w:tblGrid>
        <w:gridCol w:w="3058"/>
        <w:gridCol w:w="6580"/>
      </w:tblGrid>
      <w:tr>
        <w:trPr>
          <w:tblHeader w:val="true"/>
        </w:trPr>
        <w:tc>
          <w:tcPr>
            <w:tcW w:w="3058" w:type="dxa"/>
            <w:tcBorders>
              <w:bottom w:val="single" w:sz="2" w:space="0" w:color="000000"/>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RFP Requirement</w:t>
            </w:r>
          </w:p>
        </w:tc>
        <w:tc>
          <w:tcPr>
            <w:tcW w:w="6580" w:type="dxa"/>
            <w:tcBorders>
              <w:bottom w:val="single" w:sz="2" w:space="0" w:color="000000"/>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ERPNext Implementation</w:t>
            </w:r>
          </w:p>
        </w:tc>
      </w:tr>
      <w:tr>
        <w:trPr/>
        <w:tc>
          <w:tcPr>
            <w:tcW w:w="3058" w:type="dxa"/>
            <w:tcBorders>
              <w:bottom w:val="single" w:sz="2" w:space="0" w:color="000000"/>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All programme data owned by IGSL</w:t>
            </w:r>
          </w:p>
        </w:tc>
        <w:tc>
          <w:tcPr>
            <w:tcW w:w="6580"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Contractually guaranteed. No vendor rights over programme data.</w:t>
            </w:r>
          </w:p>
        </w:tc>
      </w:tr>
      <w:tr>
        <w:trPr/>
        <w:tc>
          <w:tcPr>
            <w:tcW w:w="3058" w:type="dxa"/>
            <w:tcBorders>
              <w:bottom w:val="single" w:sz="2" w:space="0" w:color="000000"/>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Data export on termination</w:t>
            </w:r>
          </w:p>
        </w:tc>
        <w:tc>
          <w:tcPr>
            <w:tcW w:w="6580"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All data exportable to CSV/JSON within 30 days.</w:t>
            </w:r>
          </w:p>
        </w:tc>
      </w:tr>
      <w:tr>
        <w:trPr/>
        <w:tc>
          <w:tcPr>
            <w:tcW w:w="3058" w:type="dxa"/>
            <w:tcBorders>
              <w:bottom w:val="single" w:sz="2" w:space="0" w:color="000000"/>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Source code escrow</w:t>
            </w:r>
          </w:p>
        </w:tc>
        <w:tc>
          <w:tcPr>
            <w:tcW w:w="6580" w:type="dxa"/>
            <w:tcBorders>
              <w:bottom w:val="single" w:sz="2" w:space="0" w:color="000000"/>
            </w:tcBorders>
            <w:vAlign w:val="center"/>
          </w:tcPr>
          <w:p>
            <w:pPr>
              <w:pStyle w:val="TableContents"/>
              <w:bidi w:val="0"/>
              <w:spacing w:lineRule="atLeast" w:line="375"/>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All custom code placed in escrow; ERPNext core is GPL-3.0 open source, eliminating lock-in.</w:t>
            </w:r>
          </w:p>
        </w:tc>
      </w:tr>
    </w:tbl>
    <w:p>
      <w:pPr>
        <w:pStyle w:val="Heading2"/>
        <w:bidi w:val="0"/>
        <w:spacing w:lineRule="atLeast" w:line="48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3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33"/>
        </w:rPr>
        <w:t>Configuration Panel: How ERPNext Enables "No-Code Changes"</w:t>
      </w:r>
    </w:p>
    <w:p>
      <w:pPr>
        <w:pStyle w:val="BodyText"/>
        <w:bidi w:val="0"/>
        <w:spacing w:before="240" w:after="240"/>
        <w:ind w:hanging="0" w:start="0" w:end="0"/>
        <w:jc w:val="start"/>
        <w:rPr/>
      </w:pPr>
      <w:r>
        <w:rPr/>
        <w:t>The RFP emphasizes that all programme parameters should be manageable by an administrator </w:t>
      </w:r>
      <w:r>
        <w:rPr>
          <w:rStyle w:val="Strong"/>
          <w:b/>
        </w:rPr>
        <w:t>without code changes</w:t>
      </w:r>
      <w:r>
        <w:rPr/>
        <w:t>. ERPNext's architecture makes this possible:</w:t>
      </w:r>
    </w:p>
    <w:tbl>
      <w:tblPr>
        <w:tblW w:w="9638" w:type="dxa"/>
        <w:jc w:val="start"/>
        <w:tblInd w:w="0" w:type="dxa"/>
        <w:tblLayout w:type="fixed"/>
        <w:tblCellMar>
          <w:top w:w="0" w:type="dxa"/>
          <w:start w:w="0" w:type="dxa"/>
          <w:bottom w:w="150" w:type="dxa"/>
          <w:end w:w="0" w:type="dxa"/>
        </w:tblCellMar>
      </w:tblPr>
      <w:tblGrid>
        <w:gridCol w:w="2899"/>
        <w:gridCol w:w="6739"/>
      </w:tblGrid>
      <w:tr>
        <w:trPr>
          <w:tblHeader w:val="true"/>
        </w:trPr>
        <w:tc>
          <w:tcPr>
            <w:tcW w:w="2899" w:type="dxa"/>
            <w:tcBorders>
              <w:bottom w:val="single" w:sz="2" w:space="0" w:color="000000"/>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Parameter Type</w:t>
            </w:r>
          </w:p>
        </w:tc>
        <w:tc>
          <w:tcPr>
            <w:tcW w:w="6739" w:type="dxa"/>
            <w:tcBorders>
              <w:bottom w:val="single" w:sz="2" w:space="0" w:color="000000"/>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ERPNext Configuration Method</w:t>
            </w:r>
          </w:p>
        </w:tc>
      </w:tr>
      <w:tr>
        <w:trPr/>
        <w:tc>
          <w:tcPr>
            <w:tcW w:w="2899" w:type="dxa"/>
            <w:tcBorders>
              <w:bottom w:val="single" w:sz="2" w:space="0" w:color="000000"/>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Contract values and cost lines</w:t>
            </w:r>
          </w:p>
        </w:tc>
        <w:tc>
          <w:tcPr>
            <w:tcW w:w="6739" w:type="dxa"/>
            <w:tcBorders>
              <w:bottom w:val="single" w:sz="2" w:space="0" w:color="000000"/>
            </w:tcBorders>
            <w:vAlign w:val="center"/>
          </w:tcPr>
          <w:p>
            <w:pPr>
              <w:pStyle w:val="TableContents"/>
              <w:bidi w:val="0"/>
              <w:spacing w:lineRule="atLeast" w:line="375"/>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Configured via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Custom Fields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 and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DocTypes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 Administrators can add new cost categories without development.</w:t>
            </w:r>
          </w:p>
        </w:tc>
      </w:tr>
      <w:tr>
        <w:trPr/>
        <w:tc>
          <w:tcPr>
            <w:tcW w:w="2899" w:type="dxa"/>
            <w:tcBorders>
              <w:bottom w:val="single" w:sz="2" w:space="0" w:color="000000"/>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Zone targets and unit payment rates</w:t>
            </w:r>
          </w:p>
        </w:tc>
        <w:tc>
          <w:tcPr>
            <w:tcW w:w="6739" w:type="dxa"/>
            <w:tcBorders>
              <w:bottom w:val="single" w:sz="2" w:space="0" w:color="000000"/>
            </w:tcBorders>
            <w:vAlign w:val="center"/>
          </w:tcPr>
          <w:p>
            <w:pPr>
              <w:pStyle w:val="TableContents"/>
              <w:bidi w:val="0"/>
              <w:spacing w:lineRule="atLeast" w:line="375"/>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Managed through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Custom Doctype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 forms with user-friendly interfaces.</w:t>
            </w:r>
          </w:p>
        </w:tc>
      </w:tr>
      <w:tr>
        <w:trPr/>
        <w:tc>
          <w:tcPr>
            <w:tcW w:w="2899" w:type="dxa"/>
            <w:tcBorders>
              <w:bottom w:val="single" w:sz="2" w:space="0" w:color="000000"/>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Milestone structures</w:t>
            </w:r>
          </w:p>
        </w:tc>
        <w:tc>
          <w:tcPr>
            <w:tcW w:w="6739" w:type="dxa"/>
            <w:tcBorders>
              <w:bottom w:val="single" w:sz="2" w:space="0" w:color="000000"/>
            </w:tcBorders>
            <w:vAlign w:val="center"/>
          </w:tcPr>
          <w:p>
            <w:pPr>
              <w:pStyle w:val="TableContents"/>
              <w:bidi w:val="0"/>
              <w:spacing w:lineRule="atLeast" w:line="375"/>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Defined in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Project Templates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 and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Task Types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w:t>
            </w:r>
          </w:p>
        </w:tc>
      </w:tr>
      <w:tr>
        <w:trPr/>
        <w:tc>
          <w:tcPr>
            <w:tcW w:w="2899" w:type="dxa"/>
            <w:tcBorders>
              <w:bottom w:val="single" w:sz="2" w:space="0" w:color="000000"/>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Organizational role names</w:t>
            </w:r>
          </w:p>
        </w:tc>
        <w:tc>
          <w:tcPr>
            <w:tcW w:w="6739" w:type="dxa"/>
            <w:tcBorders>
              <w:bottom w:val="single" w:sz="2" w:space="0" w:color="000000"/>
            </w:tcBorders>
            <w:vAlign w:val="center"/>
          </w:tcPr>
          <w:p>
            <w:pPr>
              <w:pStyle w:val="TableContents"/>
              <w:bidi w:val="0"/>
              <w:spacing w:lineRule="atLeast" w:line="375"/>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Mapped to ERPNext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Roles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 via a configuration interface.</w:t>
            </w:r>
          </w:p>
        </w:tc>
      </w:tr>
      <w:tr>
        <w:trPr/>
        <w:tc>
          <w:tcPr>
            <w:tcW w:w="2899" w:type="dxa"/>
            <w:tcBorders>
              <w:bottom w:val="single" w:sz="2" w:space="0" w:color="000000"/>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Workflow stages</w:t>
            </w:r>
          </w:p>
        </w:tc>
        <w:tc>
          <w:tcPr>
            <w:tcW w:w="6739" w:type="dxa"/>
            <w:tcBorders>
              <w:bottom w:val="single" w:sz="2" w:space="0" w:color="000000"/>
            </w:tcBorders>
            <w:vAlign w:val="center"/>
          </w:tcPr>
          <w:p>
            <w:pPr>
              <w:pStyle w:val="TableContents"/>
              <w:bidi w:val="0"/>
              <w:spacing w:lineRule="atLeast" w:line="375"/>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Configured through the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Workflow Builder</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—a drag-and-drop interface for approval processes .</w:t>
            </w:r>
          </w:p>
        </w:tc>
      </w:tr>
      <w:tr>
        <w:trPr/>
        <w:tc>
          <w:tcPr>
            <w:tcW w:w="2899" w:type="dxa"/>
            <w:tcBorders>
              <w:bottom w:val="single" w:sz="2" w:space="0" w:color="000000"/>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Notification rules</w:t>
            </w:r>
          </w:p>
        </w:tc>
        <w:tc>
          <w:tcPr>
            <w:tcW w:w="6739" w:type="dxa"/>
            <w:tcBorders>
              <w:bottom w:val="single" w:sz="2" w:space="0" w:color="000000"/>
            </w:tcBorders>
            <w:vAlign w:val="center"/>
          </w:tcPr>
          <w:p>
            <w:pPr>
              <w:pStyle w:val="TableContents"/>
              <w:bidi w:val="0"/>
              <w:spacing w:lineRule="atLeast" w:line="375"/>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Set up via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Email Alert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 configuration forms.</w:t>
            </w:r>
          </w:p>
        </w:tc>
      </w:tr>
      <w:tr>
        <w:trPr/>
        <w:tc>
          <w:tcPr>
            <w:tcW w:w="2899" w:type="dxa"/>
            <w:tcBorders>
              <w:bottom w:val="single" w:sz="2" w:space="0" w:color="000000"/>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Report definitions</w:t>
            </w:r>
          </w:p>
        </w:tc>
        <w:tc>
          <w:tcPr>
            <w:tcW w:w="6739" w:type="dxa"/>
            <w:tcBorders>
              <w:bottom w:val="single" w:sz="2" w:space="0" w:color="000000"/>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Report Builder</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 allows administrators to create custom reports without SQL knowledge.</w:t>
            </w:r>
          </w:p>
        </w:tc>
      </w:tr>
    </w:tbl>
    <w:p>
      <w:pPr>
        <w:pStyle w:val="Heading2"/>
        <w:bidi w:val="0"/>
        <w:spacing w:lineRule="atLeast" w:line="48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3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33"/>
        </w:rPr>
        <w:t>Summary: Why ERPNext Fits the AIPMS Requirements</w:t>
      </w:r>
    </w:p>
    <w:tbl>
      <w:tblPr>
        <w:tblW w:w="9638" w:type="dxa"/>
        <w:jc w:val="start"/>
        <w:tblInd w:w="0" w:type="dxa"/>
        <w:tblLayout w:type="fixed"/>
        <w:tblCellMar>
          <w:top w:w="0" w:type="dxa"/>
          <w:start w:w="0" w:type="dxa"/>
          <w:bottom w:w="150" w:type="dxa"/>
          <w:end w:w="0" w:type="dxa"/>
        </w:tblCellMar>
      </w:tblPr>
      <w:tblGrid>
        <w:gridCol w:w="3286"/>
        <w:gridCol w:w="6352"/>
      </w:tblGrid>
      <w:tr>
        <w:trPr>
          <w:tblHeader w:val="true"/>
        </w:trPr>
        <w:tc>
          <w:tcPr>
            <w:tcW w:w="3286" w:type="dxa"/>
            <w:tcBorders>
              <w:bottom w:val="single" w:sz="2" w:space="0" w:color="000000"/>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RFP Priority</w:t>
            </w:r>
          </w:p>
        </w:tc>
        <w:tc>
          <w:tcPr>
            <w:tcW w:w="6352" w:type="dxa"/>
            <w:tcBorders>
              <w:bottom w:val="single" w:sz="2" w:space="0" w:color="000000"/>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ERPNext Advantage</w:t>
            </w:r>
          </w:p>
        </w:tc>
      </w:tr>
      <w:tr>
        <w:trPr/>
        <w:tc>
          <w:tcPr>
            <w:tcW w:w="3286" w:type="dxa"/>
            <w:tcBorders>
              <w:bottom w:val="single" w:sz="2" w:space="0" w:color="000000"/>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Speed to deployment (Week 3 Lite Version)</w:t>
            </w:r>
          </w:p>
        </w:tc>
        <w:tc>
          <w:tcPr>
            <w:tcW w:w="6352"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Mature modules for Projects, Contracts, and Documents require only configuration, not development .</w:t>
            </w:r>
          </w:p>
        </w:tc>
      </w:tr>
      <w:tr>
        <w:trPr/>
        <w:tc>
          <w:tcPr>
            <w:tcW w:w="3286" w:type="dxa"/>
            <w:tcBorders>
              <w:bottom w:val="single" w:sz="2" w:space="0" w:color="000000"/>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Nigerian tax compliance</w:t>
            </w:r>
          </w:p>
        </w:tc>
        <w:tc>
          <w:tcPr>
            <w:tcW w:w="6352"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Native support for VAT, WHT, PAYE, Pension, NHF, NSITF .</w:t>
            </w:r>
          </w:p>
        </w:tc>
      </w:tr>
      <w:tr>
        <w:trPr/>
        <w:tc>
          <w:tcPr>
            <w:tcW w:w="3286" w:type="dxa"/>
            <w:tcBorders>
              <w:bottom w:val="single" w:sz="2" w:space="0" w:color="000000"/>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Configuration without coding</w:t>
            </w:r>
          </w:p>
        </w:tc>
        <w:tc>
          <w:tcPr>
            <w:tcW w:w="6352"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Custom fields, workflows, and reports through UI; Frappe framework for deeper needs .</w:t>
            </w:r>
          </w:p>
        </w:tc>
      </w:tr>
      <w:tr>
        <w:trPr/>
        <w:tc>
          <w:tcPr>
            <w:tcW w:w="3286" w:type="dxa"/>
            <w:tcBorders>
              <w:bottom w:val="single" w:sz="2" w:space="0" w:color="000000"/>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Audit and transparency</w:t>
            </w:r>
          </w:p>
        </w:tc>
        <w:tc>
          <w:tcPr>
            <w:tcW w:w="6352"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Complete version tracking and immutable audit logs .</w:t>
            </w:r>
          </w:p>
        </w:tc>
      </w:tr>
      <w:tr>
        <w:trPr/>
        <w:tc>
          <w:tcPr>
            <w:tcW w:w="3286" w:type="dxa"/>
            <w:tcBorders>
              <w:bottom w:val="single" w:sz="2" w:space="0" w:color="000000"/>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Offline field capability</w:t>
            </w:r>
          </w:p>
        </w:tc>
        <w:tc>
          <w:tcPr>
            <w:tcW w:w="6352"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Mobile app with offline sync for HR attendance .</w:t>
            </w:r>
          </w:p>
        </w:tc>
      </w:tr>
      <w:tr>
        <w:trPr/>
        <w:tc>
          <w:tcPr>
            <w:tcW w:w="3286" w:type="dxa"/>
            <w:tcBorders>
              <w:bottom w:val="single" w:sz="2" w:space="0" w:color="000000"/>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No vendor lock-in</w:t>
            </w:r>
          </w:p>
        </w:tc>
        <w:tc>
          <w:tcPr>
            <w:tcW w:w="6352" w:type="dxa"/>
            <w:tcBorders>
              <w:bottom w:val="single" w:sz="2" w:space="0" w:color="000000"/>
            </w:tcBorders>
            <w:vAlign w:val="center"/>
          </w:tcPr>
          <w:p>
            <w:pPr>
              <w:pStyle w:val="TableContents"/>
              <w:bidi w:val="0"/>
              <w:spacing w:lineRule="atLeast" w:line="375"/>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Open-source core + source code escrow for customizations.</w:t>
            </w:r>
          </w:p>
        </w:tc>
      </w:tr>
    </w:tbl>
    <w:p>
      <w:pPr>
        <w:pStyle w:val="BodyText"/>
        <w:bidi w:val="0"/>
        <w:spacing w:before="240" w:after="0"/>
        <w:ind w:hanging="0" w:start="0" w:end="0"/>
        <w:jc w:val="start"/>
        <w:rPr/>
      </w:pPr>
      <w:r>
        <w:rPr/>
        <w:t>This mapping demonstrates that ERPNext provides </w:t>
      </w:r>
      <w:r>
        <w:rPr>
          <w:rStyle w:val="Strong"/>
          <w:b/>
        </w:rPr>
        <w:t>90%+ of the required functionality out-of-the-box</w:t>
      </w:r>
      <w:r>
        <w:rPr/>
        <w:t>, with the remaining requirements achievable through configuration and minor custom app development—well within the aggressive 10-week timeline.</w:t>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Offline &amp; Mobile Capability</w:t>
      </w:r>
    </w:p>
    <w:p>
      <w:pPr>
        <w:pStyle w:val="BodyText"/>
        <w:widowControl/>
        <w:bidi w:val="0"/>
        <w:spacing w:before="24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
    </w:p>
    <w:p>
      <w:pPr>
        <w:pStyle w:val="HorizontalLine"/>
        <w:bidi w:val="0"/>
        <w:jc w:val="start"/>
        <w:rPr/>
      </w:pPr>
      <w:r>
        <w:rPr/>
      </w:r>
    </w:p>
    <w:p>
      <w:pPr>
        <w:pStyle w:val="Heading2"/>
        <w:widowControl/>
        <w:bidi w:val="0"/>
        <w:spacing w:lineRule="atLeast" w:line="48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Section D: Project Plan &amp; Delivery Timeline</w:t>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6.3 Phased Delivery Schedule</w:t>
      </w:r>
    </w:p>
    <w:p>
      <w:pPr>
        <w:pStyle w:val="BodyText"/>
        <w:widowControl/>
        <w:bidi w:val="0"/>
        <w:spacing w:before="240" w:after="24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We confirm our commitment to deliver the AIPMS ahead of the RFP requirements, with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Lite Version ready by end of Week 2</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and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Full Go-Live by end of Week 8</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w:t>
      </w:r>
    </w:p>
    <w:p>
      <w:pPr>
        <w:pStyle w:val="Heading4"/>
        <w:widowControl/>
        <w:bidi w:val="0"/>
        <w:spacing w:lineRule="atLeast" w:line="420" w:before="24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Detailed Week-by-Week Delivery Timeline</w:t>
      </w:r>
    </w:p>
    <w:tbl>
      <w:tblPr>
        <w:tblW w:w="9638" w:type="dxa"/>
        <w:jc w:val="start"/>
        <w:tblInd w:w="0" w:type="dxa"/>
        <w:tblLayout w:type="fixed"/>
        <w:tblCellMar>
          <w:top w:w="0" w:type="dxa"/>
          <w:start w:w="0" w:type="dxa"/>
          <w:bottom w:w="150" w:type="dxa"/>
          <w:end w:w="0" w:type="dxa"/>
        </w:tblCellMar>
      </w:tblPr>
      <w:tblGrid>
        <w:gridCol w:w="958"/>
        <w:gridCol w:w="1856"/>
        <w:gridCol w:w="2567"/>
        <w:gridCol w:w="2076"/>
        <w:gridCol w:w="2181"/>
      </w:tblGrid>
      <w:tr>
        <w:trPr>
          <w:tblHeader w:val="true"/>
        </w:trPr>
        <w:tc>
          <w:tcPr>
            <w:tcW w:w="958" w:type="dxa"/>
            <w:tcBorders>
              <w:bottom w:val="single" w:sz="2" w:space="0" w:color="000000"/>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Week</w:t>
            </w:r>
          </w:p>
        </w:tc>
        <w:tc>
          <w:tcPr>
            <w:tcW w:w="1856" w:type="dxa"/>
            <w:tcBorders>
              <w:bottom w:val="single" w:sz="2" w:space="0" w:color="000000"/>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Phase</w:t>
            </w:r>
          </w:p>
        </w:tc>
        <w:tc>
          <w:tcPr>
            <w:tcW w:w="2567" w:type="dxa"/>
            <w:tcBorders>
              <w:bottom w:val="single" w:sz="2" w:space="0" w:color="000000"/>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Key Activities</w:t>
            </w:r>
          </w:p>
        </w:tc>
        <w:tc>
          <w:tcPr>
            <w:tcW w:w="2076" w:type="dxa"/>
            <w:tcBorders>
              <w:bottom w:val="single" w:sz="2" w:space="0" w:color="000000"/>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Deliverables</w:t>
            </w:r>
          </w:p>
        </w:tc>
        <w:tc>
          <w:tcPr>
            <w:tcW w:w="2181" w:type="dxa"/>
            <w:tcBorders>
              <w:bottom w:val="single" w:sz="2" w:space="0" w:color="000000"/>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Acceptance Gate</w:t>
            </w:r>
          </w:p>
        </w:tc>
      </w:tr>
      <w:tr>
        <w:trPr/>
        <w:tc>
          <w:tcPr>
            <w:tcW w:w="958" w:type="dxa"/>
            <w:tcBorders>
              <w:bottom w:val="single" w:sz="2" w:space="0" w:color="000000"/>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Week 1</w:t>
            </w:r>
          </w:p>
        </w:tc>
        <w:tc>
          <w:tcPr>
            <w:tcW w:w="1856" w:type="dxa"/>
            <w:tcBorders>
              <w:bottom w:val="single" w:sz="2" w:space="0" w:color="000000"/>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P0 Mobilisation</w:t>
            </w:r>
          </w:p>
        </w:tc>
        <w:tc>
          <w:tcPr>
            <w:tcW w:w="2567" w:type="dxa"/>
            <w:tcBorders>
              <w:bottom w:val="single" w:sz="2" w:space="0" w:color="000000"/>
            </w:tcBorders>
            <w:vAlign w:val="center"/>
          </w:tcPr>
          <w:p>
            <w:pPr>
              <w:pStyle w:val="TableContents"/>
              <w:bidi w:val="0"/>
              <w:spacing w:lineRule="atLeast" w:line="375"/>
              <w:ind w:hanging="0" w:start="0" w:end="0"/>
              <w:jc w:val="start"/>
              <w:rPr>
                <w:caps w:val="false"/>
                <w:smallCaps w:val="false"/>
              </w:rPr>
            </w:pPr>
            <w:r>
              <w:rPr>
                <w:caps w:val="false"/>
                <w:smallCaps w:val="false"/>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Contract execution</w:t>
              <w:br/>
              <w:t>• Kick-off meeting held</w:t>
              <w:br/>
              <w:t>• Hosting environment provisioned and secured</w:t>
              <w:br/>
              <w:t>• All programme parameters loaded into Configuration Panel</w:t>
              <w:br/>
              <w:t>• All user accounts created and tested</w:t>
              <w:br/>
              <w:t>• Respondent submits P1 configuration plan</w:t>
            </w:r>
          </w:p>
        </w:tc>
        <w:tc>
          <w:tcPr>
            <w:tcW w:w="2076" w:type="dxa"/>
            <w:tcBorders>
              <w:bottom w:val="single" w:sz="2" w:space="0" w:color="000000"/>
            </w:tcBorders>
            <w:vAlign w:val="center"/>
          </w:tcPr>
          <w:p>
            <w:pPr>
              <w:pStyle w:val="TableContents"/>
              <w:bidi w:val="0"/>
              <w:spacing w:lineRule="atLeast" w:line="375"/>
              <w:ind w:hanging="0" w:start="0" w:end="0"/>
              <w:jc w:val="start"/>
              <w:rPr>
                <w:caps w:val="false"/>
                <w:smallCaps w:val="false"/>
              </w:rPr>
            </w:pPr>
            <w:r>
              <w:rPr>
                <w:caps w:val="false"/>
                <w:smallCaps w:val="false"/>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Live hosting environment</w:t>
              <w:br/>
              <w:t>• Configured parameters</w:t>
              <w:br/>
              <w:t>• Active user accounts</w:t>
              <w:br/>
              <w:t>• P1 configuration plan</w:t>
            </w:r>
          </w:p>
        </w:tc>
        <w:tc>
          <w:tcPr>
            <w:tcW w:w="2181" w:type="dxa"/>
            <w:tcBorders>
              <w:bottom w:val="single" w:sz="2" w:space="0" w:color="000000"/>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P0 Complete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br/>
              <w:t>IGSL confirms parameters loaded and hosting active</w:t>
            </w:r>
          </w:p>
        </w:tc>
      </w:tr>
      <w:tr>
        <w:trPr/>
        <w:tc>
          <w:tcPr>
            <w:tcW w:w="958" w:type="dxa"/>
            <w:tcBorders>
              <w:bottom w:val="single" w:sz="2" w:space="0" w:color="000000"/>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Week 2</w:t>
            </w:r>
          </w:p>
        </w:tc>
        <w:tc>
          <w:tcPr>
            <w:tcW w:w="1856" w:type="dxa"/>
            <w:tcBorders>
              <w:bottom w:val="single" w:sz="2" w:space="0" w:color="000000"/>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P1 Lite Version</w:t>
            </w:r>
          </w:p>
        </w:tc>
        <w:tc>
          <w:tcPr>
            <w:tcW w:w="2567" w:type="dxa"/>
            <w:tcBorders>
              <w:bottom w:val="single" w:sz="2" w:space="0" w:color="000000"/>
            </w:tcBorders>
            <w:vAlign w:val="center"/>
          </w:tcPr>
          <w:p>
            <w:pPr>
              <w:pStyle w:val="TableContents"/>
              <w:bidi w:val="0"/>
              <w:spacing w:lineRule="atLeast" w:line="375"/>
              <w:ind w:hanging="0" w:start="0" w:end="0"/>
              <w:jc w:val="start"/>
              <w:rPr>
                <w:caps w:val="false"/>
                <w:smallCaps w:val="false"/>
              </w:rPr>
            </w:pPr>
            <w:r>
              <w:rPr>
                <w:caps w:val="false"/>
                <w:smallCaps w:val="false"/>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Module 1: Milestone schedule loaded, workflows active</w:t>
              <w:br/>
              <w:t>• Module 2: Contract register live, SVR workflow operational</w:t>
              <w:br/>
              <w:t>• Module 3: WCA records entered, claim workflow active</w:t>
              <w:br/>
              <w:t>• Module 4: Document repository with version control</w:t>
              <w:br/>
              <w:t>• Module 5: Meeting calendar and minutes configured</w:t>
              <w:br/>
              <w:t>• RBAC verified for all user tiers</w:t>
              <w:br/>
              <w:t>• UAT completed for Modules 1-5</w:t>
            </w:r>
          </w:p>
        </w:tc>
        <w:tc>
          <w:tcPr>
            <w:tcW w:w="2076" w:type="dxa"/>
            <w:tcBorders>
              <w:bottom w:val="single" w:sz="2" w:space="0" w:color="000000"/>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LITE VERSION LIVE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br/>
              <w:t>• Modules 1-5 core operational</w:t>
              <w:br/>
              <w:t>• First document uploaded</w:t>
              <w:br/>
              <w:t>• First meeting scheduled</w:t>
              <w:br/>
              <w:t>• Contract register populated</w:t>
            </w:r>
          </w:p>
        </w:tc>
        <w:tc>
          <w:tcPr>
            <w:tcW w:w="2181" w:type="dxa"/>
            <w:tcBorders>
              <w:bottom w:val="single" w:sz="2" w:space="0" w:color="000000"/>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P1 Acceptance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br/>
              <w:t>IGSL written sign-off on Lite Version by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end of Week 2</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br/>
            </w:r>
            <w:r>
              <w:rPr>
                <w:rStyle w:val="Emphasis"/>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(1 week ahead of RFP)</w:t>
            </w:r>
          </w:p>
        </w:tc>
      </w:tr>
      <w:tr>
        <w:trPr/>
        <w:tc>
          <w:tcPr>
            <w:tcW w:w="958" w:type="dxa"/>
            <w:tcBorders>
              <w:bottom w:val="single" w:sz="2" w:space="0" w:color="000000"/>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Week 3</w:t>
            </w:r>
          </w:p>
        </w:tc>
        <w:tc>
          <w:tcPr>
            <w:tcW w:w="1856" w:type="dxa"/>
            <w:tcBorders>
              <w:bottom w:val="single" w:sz="2" w:space="0" w:color="000000"/>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P2.1 Full Configuration</w:t>
            </w:r>
          </w:p>
        </w:tc>
        <w:tc>
          <w:tcPr>
            <w:tcW w:w="2567" w:type="dxa"/>
            <w:tcBorders>
              <w:bottom w:val="single" w:sz="2" w:space="0" w:color="000000"/>
            </w:tcBorders>
            <w:vAlign w:val="center"/>
          </w:tcPr>
          <w:p>
            <w:pPr>
              <w:pStyle w:val="TableContents"/>
              <w:bidi w:val="0"/>
              <w:spacing w:lineRule="atLeast" w:line="375"/>
              <w:ind w:hanging="0" w:start="0" w:end="0"/>
              <w:jc w:val="start"/>
              <w:rPr>
                <w:caps w:val="false"/>
                <w:smallCaps w:val="false"/>
              </w:rPr>
            </w:pPr>
            <w:r>
              <w:rPr>
                <w:caps w:val="false"/>
                <w:smallCaps w:val="false"/>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Module 6: Dashboard and report configuration begins</w:t>
              <w:br/>
              <w:t>• Module 7: HR payroll engine configuration</w:t>
              <w:br/>
              <w:t>• Statutory deduction tables loaded (PAYE, Pension, NHF, NSITF)</w:t>
              <w:br/>
              <w:t>• FDT CSV import module development begins</w:t>
            </w:r>
          </w:p>
        </w:tc>
        <w:tc>
          <w:tcPr>
            <w:tcW w:w="2076" w:type="dxa"/>
            <w:tcBorders>
              <w:bottom w:val="single" w:sz="2" w:space="0" w:color="000000"/>
            </w:tcBorders>
            <w:vAlign w:val="center"/>
          </w:tcPr>
          <w:p>
            <w:pPr>
              <w:pStyle w:val="TableContents"/>
              <w:bidi w:val="0"/>
              <w:spacing w:lineRule="atLeast" w:line="375"/>
              <w:ind w:hanging="0" w:start="0" w:end="0"/>
              <w:jc w:val="start"/>
              <w:rPr>
                <w:caps w:val="false"/>
                <w:smallCaps w:val="false"/>
              </w:rPr>
            </w:pPr>
            <w:r>
              <w:rPr>
                <w:caps w:val="false"/>
                <w:smallCaps w:val="false"/>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Draft dashboards</w:t>
              <w:br/>
              <w:t>• Salary structure templates</w:t>
              <w:br/>
              <w:t>• FDT import prototype</w:t>
            </w:r>
          </w:p>
        </w:tc>
        <w:tc>
          <w:tcPr>
            <w:tcW w:w="2181" w:type="dxa"/>
            <w:tcBorders>
              <w:bottom w:val="single" w:sz="2" w:space="0" w:color="000000"/>
            </w:tcBorders>
            <w:vAlign w:val="center"/>
          </w:tcPr>
          <w:p>
            <w:pPr>
              <w:pStyle w:val="TableContents"/>
              <w:bidi w:val="0"/>
              <w:ind w:hanging="0" w:start="0" w:end="0"/>
              <w:jc w:val="start"/>
              <w:rPr>
                <w:sz w:val="4"/>
                <w:szCs w:val="4"/>
              </w:rPr>
            </w:pPr>
            <w:r>
              <w:rPr>
                <w:sz w:val="4"/>
                <w:szCs w:val="4"/>
              </w:rPr>
            </w:r>
          </w:p>
        </w:tc>
      </w:tr>
      <w:tr>
        <w:trPr/>
        <w:tc>
          <w:tcPr>
            <w:tcW w:w="958" w:type="dxa"/>
            <w:tcBorders>
              <w:bottom w:val="single" w:sz="2" w:space="0" w:color="000000"/>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Week 4</w:t>
            </w:r>
          </w:p>
        </w:tc>
        <w:tc>
          <w:tcPr>
            <w:tcW w:w="1856" w:type="dxa"/>
            <w:tcBorders>
              <w:bottom w:val="single" w:sz="2" w:space="0" w:color="000000"/>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P2.2 Full Configuration</w:t>
            </w:r>
          </w:p>
        </w:tc>
        <w:tc>
          <w:tcPr>
            <w:tcW w:w="2567" w:type="dxa"/>
            <w:tcBorders>
              <w:bottom w:val="single" w:sz="2" w:space="0" w:color="000000"/>
            </w:tcBorders>
            <w:vAlign w:val="center"/>
          </w:tcPr>
          <w:p>
            <w:pPr>
              <w:pStyle w:val="TableContents"/>
              <w:bidi w:val="0"/>
              <w:spacing w:lineRule="atLeast" w:line="375"/>
              <w:ind w:hanging="0" w:start="0" w:end="0"/>
              <w:jc w:val="start"/>
              <w:rPr>
                <w:caps w:val="false"/>
                <w:smallCaps w:val="false"/>
              </w:rPr>
            </w:pPr>
            <w:r>
              <w:rPr>
                <w:caps w:val="false"/>
                <w:smallCaps w:val="false"/>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Module 6: All mandatory dashboards completed</w:t>
              <w:br/>
              <w:t>• Module 7: Bulk staff onboarding tested</w:t>
              <w:br/>
              <w:t>• FDT CSV import module completed with validation logic</w:t>
              <w:br/>
              <w:t>• Parallel payroll testing with sample data</w:t>
            </w:r>
          </w:p>
        </w:tc>
        <w:tc>
          <w:tcPr>
            <w:tcW w:w="2076" w:type="dxa"/>
            <w:tcBorders>
              <w:bottom w:val="single" w:sz="2" w:space="0" w:color="000000"/>
            </w:tcBorders>
            <w:vAlign w:val="center"/>
          </w:tcPr>
          <w:p>
            <w:pPr>
              <w:pStyle w:val="TableContents"/>
              <w:bidi w:val="0"/>
              <w:spacing w:lineRule="atLeast" w:line="375"/>
              <w:ind w:hanging="0" w:start="0" w:end="0"/>
              <w:jc w:val="start"/>
              <w:rPr>
                <w:caps w:val="false"/>
                <w:smallCaps w:val="false"/>
              </w:rPr>
            </w:pPr>
            <w:r>
              <w:rPr>
                <w:caps w:val="false"/>
                <w:smallCaps w:val="false"/>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Complete dashboards</w:t>
              <w:br/>
              <w:t>• Tested payroll engine</w:t>
              <w:br/>
              <w:t>• FDT import module ready</w:t>
            </w:r>
          </w:p>
        </w:tc>
        <w:tc>
          <w:tcPr>
            <w:tcW w:w="2181" w:type="dxa"/>
            <w:tcBorders>
              <w:bottom w:val="single" w:sz="2" w:space="0" w:color="000000"/>
            </w:tcBorders>
            <w:vAlign w:val="center"/>
          </w:tcPr>
          <w:p>
            <w:pPr>
              <w:pStyle w:val="TableContents"/>
              <w:bidi w:val="0"/>
              <w:ind w:hanging="0" w:start="0" w:end="0"/>
              <w:jc w:val="start"/>
              <w:rPr>
                <w:sz w:val="4"/>
                <w:szCs w:val="4"/>
              </w:rPr>
            </w:pPr>
            <w:r>
              <w:rPr>
                <w:sz w:val="4"/>
                <w:szCs w:val="4"/>
              </w:rPr>
            </w:r>
          </w:p>
        </w:tc>
      </w:tr>
      <w:tr>
        <w:trPr/>
        <w:tc>
          <w:tcPr>
            <w:tcW w:w="958" w:type="dxa"/>
            <w:tcBorders>
              <w:bottom w:val="single" w:sz="2" w:space="0" w:color="000000"/>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Week 5</w:t>
            </w:r>
          </w:p>
        </w:tc>
        <w:tc>
          <w:tcPr>
            <w:tcW w:w="1856" w:type="dxa"/>
            <w:tcBorders>
              <w:bottom w:val="single" w:sz="2" w:space="0" w:color="000000"/>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P2.3 Integration Testing</w:t>
            </w:r>
          </w:p>
        </w:tc>
        <w:tc>
          <w:tcPr>
            <w:tcW w:w="2567" w:type="dxa"/>
            <w:tcBorders>
              <w:bottom w:val="single" w:sz="2" w:space="0" w:color="000000"/>
            </w:tcBorders>
            <w:vAlign w:val="center"/>
          </w:tcPr>
          <w:p>
            <w:pPr>
              <w:pStyle w:val="TableContents"/>
              <w:bidi w:val="0"/>
              <w:spacing w:lineRule="atLeast" w:line="375"/>
              <w:ind w:hanging="0" w:start="0" w:end="0"/>
              <w:jc w:val="start"/>
              <w:rPr>
                <w:caps w:val="false"/>
                <w:smallCaps w:val="false"/>
              </w:rPr>
            </w:pPr>
            <w:r>
              <w:rPr>
                <w:caps w:val="false"/>
                <w:smallCaps w:val="false"/>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End-to-end FDT import testing with sample data</w:t>
              <w:br/>
              <w:t>• HR attendance offline functionality tested</w:t>
              <w:br/>
              <w:t>• Payment certificate generation linked to FDT data</w:t>
              <w:br/>
              <w:t>• System integration testing (SIT) completed</w:t>
            </w:r>
          </w:p>
        </w:tc>
        <w:tc>
          <w:tcPr>
            <w:tcW w:w="2076" w:type="dxa"/>
            <w:tcBorders>
              <w:bottom w:val="single" w:sz="2" w:space="0" w:color="000000"/>
            </w:tcBorders>
            <w:vAlign w:val="center"/>
          </w:tcPr>
          <w:p>
            <w:pPr>
              <w:pStyle w:val="TableContents"/>
              <w:bidi w:val="0"/>
              <w:spacing w:lineRule="atLeast" w:line="375"/>
              <w:ind w:hanging="0" w:start="0" w:end="0"/>
              <w:jc w:val="start"/>
              <w:rPr>
                <w:caps w:val="false"/>
                <w:smallCaps w:val="false"/>
              </w:rPr>
            </w:pPr>
            <w:r>
              <w:rPr>
                <w:caps w:val="false"/>
                <w:smallCaps w:val="false"/>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Integrated system ready</w:t>
              <w:br/>
              <w:t>• Test results documented</w:t>
            </w:r>
          </w:p>
        </w:tc>
        <w:tc>
          <w:tcPr>
            <w:tcW w:w="2181" w:type="dxa"/>
            <w:tcBorders>
              <w:bottom w:val="single" w:sz="2" w:space="0" w:color="000000"/>
            </w:tcBorders>
            <w:vAlign w:val="center"/>
          </w:tcPr>
          <w:p>
            <w:pPr>
              <w:pStyle w:val="TableContents"/>
              <w:bidi w:val="0"/>
              <w:ind w:hanging="0" w:start="0" w:end="0"/>
              <w:jc w:val="start"/>
              <w:rPr>
                <w:sz w:val="4"/>
                <w:szCs w:val="4"/>
              </w:rPr>
            </w:pPr>
            <w:r>
              <w:rPr>
                <w:sz w:val="4"/>
                <w:szCs w:val="4"/>
              </w:rPr>
            </w:r>
          </w:p>
        </w:tc>
      </w:tr>
      <w:tr>
        <w:trPr/>
        <w:tc>
          <w:tcPr>
            <w:tcW w:w="958" w:type="dxa"/>
            <w:tcBorders>
              <w:bottom w:val="single" w:sz="2" w:space="0" w:color="000000"/>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Week 6</w:t>
            </w:r>
          </w:p>
        </w:tc>
        <w:tc>
          <w:tcPr>
            <w:tcW w:w="1856" w:type="dxa"/>
            <w:tcBorders>
              <w:bottom w:val="single" w:sz="2" w:space="0" w:color="000000"/>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UAT Phase 1</w:t>
            </w:r>
          </w:p>
        </w:tc>
        <w:tc>
          <w:tcPr>
            <w:tcW w:w="2567" w:type="dxa"/>
            <w:tcBorders>
              <w:bottom w:val="single" w:sz="2" w:space="0" w:color="000000"/>
            </w:tcBorders>
            <w:vAlign w:val="center"/>
          </w:tcPr>
          <w:p>
            <w:pPr>
              <w:pStyle w:val="TableContents"/>
              <w:bidi w:val="0"/>
              <w:spacing w:lineRule="atLeast" w:line="375"/>
              <w:ind w:hanging="0" w:start="0" w:end="0"/>
              <w:jc w:val="start"/>
              <w:rPr>
                <w:caps w:val="false"/>
                <w:smallCaps w:val="false"/>
              </w:rPr>
            </w:pPr>
            <w:r>
              <w:rPr>
                <w:caps w:val="false"/>
                <w:smallCaps w:val="false"/>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User Acceptance Testing for Modules 6 &amp; 7</w:t>
              <w:br/>
              <w:t>• FDT integration UAT with live data samples</w:t>
              <w:br/>
              <w:t>• HR payroll parallel run with IGSL HR team</w:t>
              <w:br/>
              <w:t>• Defect logging and prioritization</w:t>
            </w:r>
          </w:p>
        </w:tc>
        <w:tc>
          <w:tcPr>
            <w:tcW w:w="2076" w:type="dxa"/>
            <w:tcBorders>
              <w:bottom w:val="single" w:sz="2" w:space="0" w:color="000000"/>
            </w:tcBorders>
            <w:vAlign w:val="center"/>
          </w:tcPr>
          <w:p>
            <w:pPr>
              <w:pStyle w:val="TableContents"/>
              <w:bidi w:val="0"/>
              <w:spacing w:lineRule="atLeast" w:line="375"/>
              <w:ind w:hanging="0" w:start="0" w:end="0"/>
              <w:jc w:val="start"/>
              <w:rPr>
                <w:caps w:val="false"/>
                <w:smallCaps w:val="false"/>
              </w:rPr>
            </w:pPr>
            <w:r>
              <w:rPr>
                <w:caps w:val="false"/>
                <w:smallCaps w:val="false"/>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UAT feedback log</w:t>
              <w:br/>
              <w:t>• Parallel payroll comparison report</w:t>
            </w:r>
          </w:p>
        </w:tc>
        <w:tc>
          <w:tcPr>
            <w:tcW w:w="2181" w:type="dxa"/>
            <w:tcBorders>
              <w:bottom w:val="single" w:sz="2" w:space="0" w:color="000000"/>
            </w:tcBorders>
            <w:vAlign w:val="center"/>
          </w:tcPr>
          <w:p>
            <w:pPr>
              <w:pStyle w:val="TableContents"/>
              <w:bidi w:val="0"/>
              <w:ind w:hanging="0" w:start="0" w:end="0"/>
              <w:jc w:val="start"/>
              <w:rPr>
                <w:sz w:val="4"/>
                <w:szCs w:val="4"/>
              </w:rPr>
            </w:pPr>
            <w:r>
              <w:rPr>
                <w:sz w:val="4"/>
                <w:szCs w:val="4"/>
              </w:rPr>
            </w:r>
          </w:p>
        </w:tc>
      </w:tr>
      <w:tr>
        <w:trPr/>
        <w:tc>
          <w:tcPr>
            <w:tcW w:w="958" w:type="dxa"/>
            <w:tcBorders>
              <w:bottom w:val="single" w:sz="2" w:space="0" w:color="000000"/>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Week 7</w:t>
            </w:r>
          </w:p>
        </w:tc>
        <w:tc>
          <w:tcPr>
            <w:tcW w:w="1856" w:type="dxa"/>
            <w:tcBorders>
              <w:bottom w:val="single" w:sz="2" w:space="0" w:color="000000"/>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UAT Phase 2 &amp; Security</w:t>
            </w:r>
          </w:p>
        </w:tc>
        <w:tc>
          <w:tcPr>
            <w:tcW w:w="2567" w:type="dxa"/>
            <w:tcBorders>
              <w:bottom w:val="single" w:sz="2" w:space="0" w:color="000000"/>
            </w:tcBorders>
            <w:vAlign w:val="center"/>
          </w:tcPr>
          <w:p>
            <w:pPr>
              <w:pStyle w:val="TableContents"/>
              <w:bidi w:val="0"/>
              <w:spacing w:lineRule="atLeast" w:line="375"/>
              <w:ind w:hanging="0" w:start="0" w:end="0"/>
              <w:jc w:val="start"/>
              <w:rPr>
                <w:caps w:val="false"/>
                <w:smallCaps w:val="false"/>
              </w:rPr>
            </w:pPr>
            <w:r>
              <w:rPr>
                <w:caps w:val="false"/>
                <w:smallCaps w:val="false"/>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UAT defect resolution</w:t>
              <w:br/>
              <w:t>• Full penetration testing conducted</w:t>
              <w:br/>
              <w:t>• All critical findings remediated</w:t>
              <w:br/>
              <w:t>• Training materials developed (videos, user guides)</w:t>
            </w:r>
          </w:p>
        </w:tc>
        <w:tc>
          <w:tcPr>
            <w:tcW w:w="2076" w:type="dxa"/>
            <w:tcBorders>
              <w:bottom w:val="single" w:sz="2" w:space="0" w:color="000000"/>
            </w:tcBorders>
            <w:vAlign w:val="center"/>
          </w:tcPr>
          <w:p>
            <w:pPr>
              <w:pStyle w:val="TableContents"/>
              <w:bidi w:val="0"/>
              <w:spacing w:lineRule="atLeast" w:line="375"/>
              <w:ind w:hanging="0" w:start="0" w:end="0"/>
              <w:jc w:val="start"/>
              <w:rPr>
                <w:caps w:val="false"/>
                <w:smallCaps w:val="false"/>
              </w:rPr>
            </w:pPr>
            <w:r>
              <w:rPr>
                <w:caps w:val="false"/>
                <w:smallCaps w:val="false"/>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Pen test report</w:t>
              <w:br/>
              <w:t>• Remediation evidence</w:t>
              <w:br/>
              <w:t>• Training materials</w:t>
            </w:r>
          </w:p>
        </w:tc>
        <w:tc>
          <w:tcPr>
            <w:tcW w:w="2181" w:type="dxa"/>
            <w:tcBorders>
              <w:bottom w:val="single" w:sz="2" w:space="0" w:color="000000"/>
            </w:tcBorders>
            <w:vAlign w:val="center"/>
          </w:tcPr>
          <w:p>
            <w:pPr>
              <w:pStyle w:val="TableContents"/>
              <w:bidi w:val="0"/>
              <w:ind w:hanging="0" w:start="0" w:end="0"/>
              <w:jc w:val="start"/>
              <w:rPr>
                <w:sz w:val="4"/>
                <w:szCs w:val="4"/>
              </w:rPr>
            </w:pPr>
            <w:r>
              <w:rPr>
                <w:sz w:val="4"/>
                <w:szCs w:val="4"/>
              </w:rPr>
            </w:r>
          </w:p>
        </w:tc>
      </w:tr>
      <w:tr>
        <w:trPr/>
        <w:tc>
          <w:tcPr>
            <w:tcW w:w="958" w:type="dxa"/>
            <w:tcBorders>
              <w:bottom w:val="single" w:sz="2" w:space="0" w:color="000000"/>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Week 8</w:t>
            </w:r>
          </w:p>
        </w:tc>
        <w:tc>
          <w:tcPr>
            <w:tcW w:w="1856" w:type="dxa"/>
            <w:tcBorders>
              <w:bottom w:val="single" w:sz="2" w:space="0" w:color="000000"/>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P3 Full Go-Live</w:t>
            </w:r>
          </w:p>
        </w:tc>
        <w:tc>
          <w:tcPr>
            <w:tcW w:w="2567" w:type="dxa"/>
            <w:tcBorders>
              <w:bottom w:val="single" w:sz="2" w:space="0" w:color="000000"/>
            </w:tcBorders>
            <w:vAlign w:val="center"/>
          </w:tcPr>
          <w:p>
            <w:pPr>
              <w:pStyle w:val="TableContents"/>
              <w:bidi w:val="0"/>
              <w:spacing w:lineRule="atLeast" w:line="375"/>
              <w:ind w:hanging="0" w:start="0" w:end="0"/>
              <w:jc w:val="start"/>
              <w:rPr/>
            </w:pPr>
            <w:r>
              <w:rPr>
                <w:caps w:val="false"/>
                <w:smallCaps w:val="false"/>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Production environment finalized</w:t>
              <w:br/>
              <w:t>•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Full Go-Live achieved</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br/>
              <w:t>• First live FDT import processed</w:t>
              <w:br/>
              <w:t>• First HR payroll run executed</w:t>
              <w:br/>
              <w:t>• Tier 1-7 training completed</w:t>
            </w:r>
          </w:p>
        </w:tc>
        <w:tc>
          <w:tcPr>
            <w:tcW w:w="2076" w:type="dxa"/>
            <w:tcBorders>
              <w:bottom w:val="single" w:sz="2" w:space="0" w:color="000000"/>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FULL SYSTEM LIVE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br/>
              <w:t>• All 7 modules complete</w:t>
              <w:br/>
              <w:t>• Live FDT integration</w:t>
              <w:br/>
              <w:t>• Live payroll run</w:t>
            </w:r>
          </w:p>
        </w:tc>
        <w:tc>
          <w:tcPr>
            <w:tcW w:w="2181" w:type="dxa"/>
            <w:tcBorders>
              <w:bottom w:val="single" w:sz="2" w:space="0" w:color="000000"/>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P3 Acceptance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br/>
              <w:t>IGSL confirms production go-live by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end of Week 8</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br/>
            </w:r>
            <w:r>
              <w:rPr>
                <w:rStyle w:val="Emphasis"/>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(2 weeks ahead of RFP)</w:t>
            </w:r>
          </w:p>
        </w:tc>
      </w:tr>
      <w:tr>
        <w:trPr/>
        <w:tc>
          <w:tcPr>
            <w:tcW w:w="958" w:type="dxa"/>
            <w:tcBorders>
              <w:bottom w:val="single" w:sz="2" w:space="0" w:color="000000"/>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Weeks 9-12</w:t>
            </w:r>
          </w:p>
        </w:tc>
        <w:tc>
          <w:tcPr>
            <w:tcW w:w="1856" w:type="dxa"/>
            <w:tcBorders>
              <w:bottom w:val="single" w:sz="2" w:space="0" w:color="000000"/>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Hypercare Support</w:t>
            </w:r>
          </w:p>
        </w:tc>
        <w:tc>
          <w:tcPr>
            <w:tcW w:w="2567" w:type="dxa"/>
            <w:tcBorders>
              <w:bottom w:val="single" w:sz="2" w:space="0" w:color="000000"/>
            </w:tcBorders>
            <w:vAlign w:val="center"/>
          </w:tcPr>
          <w:p>
            <w:pPr>
              <w:pStyle w:val="TableContents"/>
              <w:bidi w:val="0"/>
              <w:spacing w:lineRule="atLeast" w:line="375"/>
              <w:ind w:hanging="0" w:start="0" w:end="0"/>
              <w:jc w:val="start"/>
              <w:rPr>
                <w:caps w:val="false"/>
                <w:smallCaps w:val="false"/>
              </w:rPr>
            </w:pPr>
            <w:r>
              <w:rPr>
                <w:caps w:val="false"/>
                <w:smallCaps w:val="false"/>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Dedicated post-launch support</w:t>
              <w:br/>
              <w:t>• 1-hour response for critical issues</w:t>
              <w:br/>
              <w:t>• On-site support as needed</w:t>
              <w:br/>
              <w:t>• Issue resolution and minor tweaks</w:t>
            </w:r>
          </w:p>
        </w:tc>
        <w:tc>
          <w:tcPr>
            <w:tcW w:w="2076" w:type="dxa"/>
            <w:tcBorders>
              <w:bottom w:val="single" w:sz="2" w:space="0" w:color="000000"/>
            </w:tcBorders>
            <w:vAlign w:val="center"/>
          </w:tcPr>
          <w:p>
            <w:pPr>
              <w:pStyle w:val="TableContents"/>
              <w:bidi w:val="0"/>
              <w:spacing w:lineRule="atLeast" w:line="375"/>
              <w:ind w:hanging="0" w:start="0" w:end="0"/>
              <w:jc w:val="start"/>
              <w:rPr>
                <w:caps w:val="false"/>
                <w:smallCaps w:val="false"/>
              </w:rPr>
            </w:pPr>
            <w:r>
              <w:rPr>
                <w:caps w:val="false"/>
                <w:smallCaps w:val="false"/>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Hypercare reports</w:t>
              <w:br/>
              <w:t>• Issue resolution log</w:t>
            </w:r>
          </w:p>
        </w:tc>
        <w:tc>
          <w:tcPr>
            <w:tcW w:w="2181" w:type="dxa"/>
            <w:tcBorders>
              <w:bottom w:val="single" w:sz="2" w:space="0" w:color="000000"/>
            </w:tcBorders>
            <w:vAlign w:val="center"/>
          </w:tcPr>
          <w:p>
            <w:pPr>
              <w:pStyle w:val="TableContents"/>
              <w:bidi w:val="0"/>
              <w:ind w:hanging="0" w:start="0" w:end="0"/>
              <w:jc w:val="start"/>
              <w:rPr>
                <w:sz w:val="4"/>
                <w:szCs w:val="4"/>
              </w:rPr>
            </w:pPr>
            <w:r>
              <w:rPr>
                <w:sz w:val="4"/>
                <w:szCs w:val="4"/>
              </w:rPr>
            </w:r>
          </w:p>
        </w:tc>
      </w:tr>
      <w:tr>
        <w:trPr/>
        <w:tc>
          <w:tcPr>
            <w:tcW w:w="958" w:type="dxa"/>
            <w:tcBorders>
              <w:bottom w:val="single" w:sz="2" w:space="0" w:color="000000"/>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Weeks 13-16</w:t>
            </w:r>
          </w:p>
        </w:tc>
        <w:tc>
          <w:tcPr>
            <w:tcW w:w="1856" w:type="dxa"/>
            <w:tcBorders>
              <w:bottom w:val="single" w:sz="2" w:space="0" w:color="000000"/>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P4 Final Handover</w:t>
            </w:r>
          </w:p>
        </w:tc>
        <w:tc>
          <w:tcPr>
            <w:tcW w:w="2567" w:type="dxa"/>
            <w:tcBorders>
              <w:bottom w:val="single" w:sz="2" w:space="0" w:color="000000"/>
            </w:tcBorders>
            <w:vAlign w:val="center"/>
          </w:tcPr>
          <w:p>
            <w:pPr>
              <w:pStyle w:val="TableContents"/>
              <w:bidi w:val="0"/>
              <w:spacing w:lineRule="atLeast" w:line="375"/>
              <w:ind w:hanging="0" w:start="0" w:end="0"/>
              <w:jc w:val="start"/>
              <w:rPr>
                <w:caps w:val="false"/>
                <w:smallCaps w:val="false"/>
              </w:rPr>
            </w:pPr>
            <w:r>
              <w:rPr>
                <w:caps w:val="false"/>
                <w:smallCaps w:val="false"/>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Final technical documentation delivered</w:t>
              <w:br/>
              <w:t>• User documentation finalized</w:t>
              <w:br/>
              <w:t>• Knowledge transfer sessions completed</w:t>
              <w:br/>
              <w:t>• All critical findings closed</w:t>
              <w:br/>
              <w:t>• Project closure report</w:t>
            </w:r>
          </w:p>
        </w:tc>
        <w:tc>
          <w:tcPr>
            <w:tcW w:w="2076" w:type="dxa"/>
            <w:tcBorders>
              <w:bottom w:val="single" w:sz="2" w:space="0" w:color="000000"/>
            </w:tcBorders>
            <w:vAlign w:val="center"/>
          </w:tcPr>
          <w:p>
            <w:pPr>
              <w:pStyle w:val="TableContents"/>
              <w:bidi w:val="0"/>
              <w:spacing w:lineRule="atLeast" w:line="375"/>
              <w:jc w:val="start"/>
              <w:rPr>
                <w:caps w:val="false"/>
                <w:smallCaps w:val="false"/>
              </w:rPr>
            </w:pPr>
            <w:r>
              <w:rPr>
                <w:caps w:val="false"/>
                <w:smallCaps w:val="false"/>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Complete documentation</w:t>
              <w:br/>
              <w:t>• Knowledge transfer sign-off</w:t>
              <w:br/>
              <w:t>• Final handover report</w:t>
            </w:r>
          </w:p>
        </w:tc>
        <w:tc>
          <w:tcPr>
            <w:tcW w:w="2181" w:type="dxa"/>
            <w:tcBorders/>
            <w:tcMar>
              <w:top w:w="28" w:type="dxa"/>
              <w:start w:w="28" w:type="dxa"/>
              <w:bottom w:w="28" w:type="dxa"/>
              <w:end w:w="28" w:type="dxa"/>
            </w:tcMar>
          </w:tcPr>
          <w:p>
            <w:pPr>
              <w:pStyle w:val="TableContents"/>
              <w:bidi w:val="0"/>
              <w:jc w:val="start"/>
              <w:rPr>
                <w:sz w:val="4"/>
                <w:szCs w:val="4"/>
              </w:rPr>
            </w:pPr>
            <w:r>
              <w:rPr>
                <w:sz w:val="4"/>
                <w:szCs w:val="4"/>
              </w:rPr>
            </w:r>
          </w:p>
        </w:tc>
      </w:tr>
    </w:tbl>
    <w:p>
      <w:pPr>
        <w:pStyle w:val="BodyText"/>
        <w:widowControl/>
        <w:bidi w:val="0"/>
        <w:spacing w:before="240" w:after="240"/>
        <w:ind w:hanging="0" w:start="0" w:end="0"/>
        <w:jc w:val="start"/>
        <w:rPr>
          <w:rStyle w:val="Emphasis"/>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Risk Register (Top 5)</w:t>
      </w:r>
    </w:p>
    <w:tbl>
      <w:tblPr>
        <w:tblW w:w="9638" w:type="dxa"/>
        <w:jc w:val="start"/>
        <w:tblInd w:w="0" w:type="dxa"/>
        <w:tblLayout w:type="fixed"/>
        <w:tblCellMar>
          <w:top w:w="0" w:type="dxa"/>
          <w:start w:w="0" w:type="dxa"/>
          <w:bottom w:w="150" w:type="dxa"/>
          <w:end w:w="0" w:type="dxa"/>
        </w:tblCellMar>
      </w:tblPr>
      <w:tblGrid>
        <w:gridCol w:w="2509"/>
        <w:gridCol w:w="1874"/>
        <w:gridCol w:w="5255"/>
      </w:tblGrid>
      <w:tr>
        <w:trPr>
          <w:tblHeader w:val="true"/>
        </w:trPr>
        <w:tc>
          <w:tcPr>
            <w:tcW w:w="2509" w:type="dxa"/>
            <w:tcBorders>
              <w:bottom w:val="single" w:sz="2" w:space="0" w:color="000000"/>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Risk</w:t>
            </w:r>
          </w:p>
        </w:tc>
        <w:tc>
          <w:tcPr>
            <w:tcW w:w="1874" w:type="dxa"/>
            <w:tcBorders>
              <w:bottom w:val="single" w:sz="2" w:space="0" w:color="000000"/>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Impact</w:t>
            </w:r>
          </w:p>
        </w:tc>
        <w:tc>
          <w:tcPr>
            <w:tcW w:w="5255" w:type="dxa"/>
            <w:tcBorders>
              <w:bottom w:val="single" w:sz="2" w:space="0" w:color="000000"/>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Mitigation</w:t>
            </w:r>
          </w:p>
        </w:tc>
      </w:tr>
      <w:tr>
        <w:trPr/>
        <w:tc>
          <w:tcPr>
            <w:tcW w:w="2509"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1. Delays in IGSL providing programme parameters</w:t>
            </w:r>
          </w:p>
        </w:tc>
        <w:tc>
          <w:tcPr>
            <w:tcW w:w="1874"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Delay in P1 Lite Version</w:t>
            </w:r>
          </w:p>
        </w:tc>
        <w:tc>
          <w:tcPr>
            <w:tcW w:w="5255"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We will pre-load dummy data to have a live environment immediately. We will work with IGSL during Week 1 to prioritize data collection for the most critical 20% of parameters.</w:t>
            </w:r>
          </w:p>
        </w:tc>
      </w:tr>
      <w:tr>
        <w:trPr/>
        <w:tc>
          <w:tcPr>
            <w:tcW w:w="2509"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2. FDT data schema changes post-integration</w:t>
            </w:r>
          </w:p>
        </w:tc>
        <w:tc>
          <w:tcPr>
            <w:tcW w:w="1874"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Payment workflow errors</w:t>
            </w:r>
          </w:p>
        </w:tc>
        <w:tc>
          <w:tcPr>
            <w:tcW w:w="5255"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We will design the CSV import module to be schema-flexible where possible. Any required change will trigger a notification, and we will provide a rapid configuration update as part of hypercare.</w:t>
            </w:r>
          </w:p>
        </w:tc>
      </w:tr>
      <w:tr>
        <w:trPr/>
        <w:tc>
          <w:tcPr>
            <w:tcW w:w="2509"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3. HR payroll complexity for specific roles</w:t>
            </w:r>
          </w:p>
        </w:tc>
        <w:tc>
          <w:tcPr>
            <w:tcW w:w="1874"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Incorrect salary calculations</w:t>
            </w:r>
          </w:p>
        </w:tc>
        <w:tc>
          <w:tcPr>
            <w:tcW w:w="5255"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We will work with IGSL's HR team in Week 3-4 to run parallel payroll runs, comparing our system's output with their current manual calculations, to ensure 100% accuracy before go-live.</w:t>
            </w:r>
          </w:p>
        </w:tc>
      </w:tr>
      <w:tr>
        <w:trPr/>
        <w:tc>
          <w:tcPr>
            <w:tcW w:w="2509"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4. Connectivity issues for mobile users</w:t>
            </w:r>
          </w:p>
        </w:tc>
        <w:tc>
          <w:tcPr>
            <w:tcW w:w="1874"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Inability to submit HR attendance</w:t>
            </w:r>
          </w:p>
        </w:tc>
        <w:tc>
          <w:tcPr>
            <w:tcW w:w="5255"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We are implementing a true offline-capable mobile app. Data is stored locally and syncs automatically when connectivity is restored. The app queues submissions and handles conflicts gracefully.</w:t>
            </w:r>
          </w:p>
        </w:tc>
      </w:tr>
      <w:tr>
        <w:trPr/>
        <w:tc>
          <w:tcPr>
            <w:tcW w:w="2509"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5. Security vulnerability found in custom code</w:t>
            </w:r>
          </w:p>
        </w:tc>
        <w:tc>
          <w:tcPr>
            <w:tcW w:w="1874"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Data breach or system compromise</w:t>
            </w:r>
          </w:p>
        </w:tc>
        <w:tc>
          <w:tcPr>
            <w:tcW w:w="5255" w:type="dxa"/>
            <w:tcBorders>
              <w:bottom w:val="single" w:sz="2" w:space="0" w:color="000000"/>
            </w:tcBorders>
            <w:vAlign w:val="center"/>
          </w:tcPr>
          <w:p>
            <w:pPr>
              <w:pStyle w:val="TableContents"/>
              <w:bidi w:val="0"/>
              <w:spacing w:lineRule="atLeast" w:line="375"/>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All custom code will undergo peer review and automated security scanning. The pre-go-live penetration test is a mandatory, non-negotiable gate.</w:t>
            </w:r>
          </w:p>
        </w:tc>
      </w:tr>
    </w:tbl>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Team Structure</w:t>
      </w:r>
    </w:p>
    <w:p>
      <w:pPr>
        <w:pStyle w:val="BodyText"/>
        <w:widowControl/>
        <w:numPr>
          <w:ilvl w:val="0"/>
          <w:numId w:val="4"/>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Project Manager:</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Taiwo Eugene Akinosho</w:t>
      </w:r>
    </w:p>
    <w:p>
      <w:pPr>
        <w:pStyle w:val="BodyText"/>
        <w:widowControl/>
        <w:numPr>
          <w:ilvl w:val="0"/>
          <w:numId w:val="4"/>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Lead Solutions Architect: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Lucky Okpuno</w:t>
      </w:r>
    </w:p>
    <w:p>
      <w:pPr>
        <w:pStyle w:val="BodyText"/>
        <w:widowControl/>
        <w:numPr>
          <w:ilvl w:val="0"/>
          <w:numId w:val="4"/>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Lead Developer (Frappe/Python):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TK Emiko</w:t>
      </w:r>
    </w:p>
    <w:p>
      <w:pPr>
        <w:pStyle w:val="BodyText"/>
        <w:widowControl/>
        <w:numPr>
          <w:ilvl w:val="0"/>
          <w:numId w:val="4"/>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HR &amp; Payroll Specialist: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w:t>
      </w:r>
    </w:p>
    <w:p>
      <w:pPr>
        <w:pStyle w:val="BodyText"/>
        <w:widowControl/>
        <w:numPr>
          <w:ilvl w:val="0"/>
          <w:numId w:val="4"/>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DevOps Engineer:</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[Name, CV attached]</w:t>
      </w:r>
    </w:p>
    <w:p>
      <w:pPr>
        <w:pStyle w:val="BodyText"/>
        <w:widowControl/>
        <w:numPr>
          <w:ilvl w:val="0"/>
          <w:numId w:val="4"/>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QA Lead:</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Rose Soyinka</w:t>
      </w:r>
    </w:p>
    <w:p>
      <w:pPr>
        <w:pStyle w:val="HorizontalLine"/>
        <w:bidi w:val="0"/>
        <w:jc w:val="start"/>
        <w:rPr/>
      </w:pPr>
      <w:r>
        <w:rPr/>
      </w:r>
    </w:p>
    <w:p>
      <w:pPr>
        <w:pStyle w:val="Heading2"/>
        <w:widowControl/>
        <w:bidi w:val="0"/>
        <w:spacing w:lineRule="atLeast" w:line="48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t>Section E: Commercial Proposal</w:t>
      </w:r>
    </w:p>
    <w:p>
      <w:pPr>
        <w:pStyle w:val="BodyText"/>
        <w:widowControl/>
        <w:bidi w:val="0"/>
        <w:spacing w:before="240" w:after="240"/>
        <w:ind w:hanging="0" w:start="0" w:end="0"/>
        <w:jc w:val="start"/>
        <w:rPr/>
      </w:pPr>
      <w:r>
        <w:rPr>
          <w:rStyle w:val="Emphasis"/>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All prices quoted in Nigerian Naira (N). Valid for 90 days from submission date. VAT not included.</w:t>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1. Fixed-Price Development &amp; Configuration (AIPMS Supply)</w:t>
      </w:r>
    </w:p>
    <w:tbl>
      <w:tblPr>
        <w:tblW w:w="9638" w:type="dxa"/>
        <w:jc w:val="start"/>
        <w:tblInd w:w="0" w:type="dxa"/>
        <w:tblLayout w:type="fixed"/>
        <w:tblCellMar>
          <w:top w:w="0" w:type="dxa"/>
          <w:start w:w="0" w:type="dxa"/>
          <w:bottom w:w="150" w:type="dxa"/>
          <w:end w:w="0" w:type="dxa"/>
        </w:tblCellMar>
      </w:tblPr>
      <w:tblGrid>
        <w:gridCol w:w="2610"/>
        <w:gridCol w:w="5429"/>
        <w:gridCol w:w="1599"/>
      </w:tblGrid>
      <w:tr>
        <w:trPr>
          <w:tblHeader w:val="true"/>
        </w:trPr>
        <w:tc>
          <w:tcPr>
            <w:tcW w:w="2610" w:type="dxa"/>
            <w:tcBorders>
              <w:bottom w:val="single" w:sz="2" w:space="0" w:color="000000"/>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Phase / Module</w:t>
            </w:r>
          </w:p>
        </w:tc>
        <w:tc>
          <w:tcPr>
            <w:tcW w:w="5429" w:type="dxa"/>
            <w:tcBorders>
              <w:bottom w:val="single" w:sz="2" w:space="0" w:color="000000"/>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Description</w:t>
            </w:r>
          </w:p>
        </w:tc>
        <w:tc>
          <w:tcPr>
            <w:tcW w:w="1599" w:type="dxa"/>
            <w:tcBorders>
              <w:bottom w:val="single" w:sz="2" w:space="0" w:color="000000"/>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Price (N)</w:t>
            </w:r>
          </w:p>
        </w:tc>
      </w:tr>
      <w:tr>
        <w:trPr/>
        <w:tc>
          <w:tcPr>
            <w:tcW w:w="2610" w:type="dxa"/>
            <w:tcBorders>
              <w:bottom w:val="single" w:sz="2" w:space="0" w:color="000000"/>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P0 Mobilisation</w:t>
            </w:r>
          </w:p>
        </w:tc>
        <w:tc>
          <w:tcPr>
            <w:tcW w:w="5429"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Environment setup, parameter loading, user creation.</w:t>
            </w:r>
          </w:p>
        </w:tc>
        <w:tc>
          <w:tcPr>
            <w:tcW w:w="1599"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[Amount]</w:t>
            </w:r>
          </w:p>
        </w:tc>
      </w:tr>
      <w:tr>
        <w:trPr/>
        <w:tc>
          <w:tcPr>
            <w:tcW w:w="2610" w:type="dxa"/>
            <w:tcBorders>
              <w:bottom w:val="single" w:sz="2" w:space="0" w:color="000000"/>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P1 Lite Version</w:t>
            </w:r>
          </w:p>
        </w:tc>
        <w:tc>
          <w:tcPr>
            <w:tcW w:w="5429"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Configuration of Modules 1-5 to core operational level.</w:t>
            </w:r>
          </w:p>
        </w:tc>
        <w:tc>
          <w:tcPr>
            <w:tcW w:w="1599"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[Amount]</w:t>
            </w:r>
          </w:p>
        </w:tc>
      </w:tr>
      <w:tr>
        <w:trPr/>
        <w:tc>
          <w:tcPr>
            <w:tcW w:w="2610" w:type="dxa"/>
            <w:tcBorders>
              <w:bottom w:val="single" w:sz="2" w:space="0" w:color="000000"/>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P2 Full Configuration</w:t>
            </w:r>
          </w:p>
        </w:tc>
        <w:tc>
          <w:tcPr>
            <w:tcW w:w="5429"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Configuration of Modules 6 &amp; 7. Development of FDT CSV Import.</w:t>
            </w:r>
          </w:p>
        </w:tc>
        <w:tc>
          <w:tcPr>
            <w:tcW w:w="1599"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[Amount]</w:t>
            </w:r>
          </w:p>
        </w:tc>
      </w:tr>
      <w:tr>
        <w:trPr/>
        <w:tc>
          <w:tcPr>
            <w:tcW w:w="2610" w:type="dxa"/>
            <w:tcBorders>
              <w:bottom w:val="single" w:sz="2" w:space="0" w:color="000000"/>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P3 Go-Live Support</w:t>
            </w:r>
          </w:p>
        </w:tc>
        <w:tc>
          <w:tcPr>
            <w:tcW w:w="5429"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UAT support, go-live activities, training delivery.</w:t>
            </w:r>
          </w:p>
        </w:tc>
        <w:tc>
          <w:tcPr>
            <w:tcW w:w="1599"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[Amount]</w:t>
            </w:r>
          </w:p>
        </w:tc>
      </w:tr>
      <w:tr>
        <w:trPr/>
        <w:tc>
          <w:tcPr>
            <w:tcW w:w="2610" w:type="dxa"/>
            <w:tcBorders>
              <w:bottom w:val="single" w:sz="2" w:space="0" w:color="000000"/>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P4 Handover</w:t>
            </w:r>
          </w:p>
        </w:tc>
        <w:tc>
          <w:tcPr>
            <w:tcW w:w="5429"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Documentation, knowledge transfer.</w:t>
            </w:r>
          </w:p>
        </w:tc>
        <w:tc>
          <w:tcPr>
            <w:tcW w:w="1599"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[Amount]</w:t>
            </w:r>
          </w:p>
        </w:tc>
      </w:tr>
      <w:tr>
        <w:trPr/>
        <w:tc>
          <w:tcPr>
            <w:tcW w:w="2610" w:type="dxa"/>
            <w:tcBorders>
              <w:bottom w:val="single" w:sz="2" w:space="0" w:color="000000"/>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TOTAL DEVELOPMENT FEE</w:t>
            </w:r>
          </w:p>
        </w:tc>
        <w:tc>
          <w:tcPr>
            <w:tcW w:w="5429" w:type="dxa"/>
            <w:tcBorders>
              <w:bottom w:val="single" w:sz="2" w:space="0" w:color="000000"/>
            </w:tcBorders>
            <w:vAlign w:val="center"/>
          </w:tcPr>
          <w:p>
            <w:pPr>
              <w:pStyle w:val="TableContents"/>
              <w:bidi w:val="0"/>
              <w:ind w:hanging="0" w:start="0" w:end="0"/>
              <w:jc w:val="start"/>
              <w:rPr>
                <w:sz w:val="4"/>
                <w:szCs w:val="4"/>
              </w:rPr>
            </w:pPr>
            <w:r>
              <w:rPr>
                <w:sz w:val="4"/>
                <w:szCs w:val="4"/>
              </w:rPr>
            </w:r>
          </w:p>
        </w:tc>
        <w:tc>
          <w:tcPr>
            <w:tcW w:w="1599" w:type="dxa"/>
            <w:tcBorders>
              <w:bottom w:val="single" w:sz="2" w:space="0" w:color="000000"/>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[Total Amount]</w:t>
            </w:r>
          </w:p>
        </w:tc>
      </w:tr>
    </w:tbl>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2. Optional Phase 2 Enhancements (Priced Separately)</w:t>
      </w:r>
    </w:p>
    <w:tbl>
      <w:tblPr>
        <w:tblW w:w="9638" w:type="dxa"/>
        <w:jc w:val="start"/>
        <w:tblInd w:w="0" w:type="dxa"/>
        <w:tblLayout w:type="fixed"/>
        <w:tblCellMar>
          <w:top w:w="0" w:type="dxa"/>
          <w:start w:w="0" w:type="dxa"/>
          <w:bottom w:w="150" w:type="dxa"/>
          <w:end w:w="0" w:type="dxa"/>
        </w:tblCellMar>
      </w:tblPr>
      <w:tblGrid>
        <w:gridCol w:w="2274"/>
        <w:gridCol w:w="6223"/>
        <w:gridCol w:w="1141"/>
      </w:tblGrid>
      <w:tr>
        <w:trPr>
          <w:tblHeader w:val="true"/>
        </w:trPr>
        <w:tc>
          <w:tcPr>
            <w:tcW w:w="2274" w:type="dxa"/>
            <w:tcBorders>
              <w:bottom w:val="single" w:sz="2" w:space="0" w:color="000000"/>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Enhancement</w:t>
            </w:r>
          </w:p>
        </w:tc>
        <w:tc>
          <w:tcPr>
            <w:tcW w:w="6223" w:type="dxa"/>
            <w:tcBorders>
              <w:bottom w:val="single" w:sz="2" w:space="0" w:color="000000"/>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Description</w:t>
            </w:r>
          </w:p>
        </w:tc>
        <w:tc>
          <w:tcPr>
            <w:tcW w:w="1141" w:type="dxa"/>
            <w:tcBorders>
              <w:bottom w:val="single" w:sz="2" w:space="0" w:color="000000"/>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Price (N)</w:t>
            </w:r>
          </w:p>
        </w:tc>
      </w:tr>
      <w:tr>
        <w:trPr/>
        <w:tc>
          <w:tcPr>
            <w:tcW w:w="2274"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REST API for FDT</w:t>
            </w:r>
          </w:p>
        </w:tc>
        <w:tc>
          <w:tcPr>
            <w:tcW w:w="6223"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Full OAuth 2.0 protected API endpoint for automated data push.</w:t>
            </w:r>
          </w:p>
        </w:tc>
        <w:tc>
          <w:tcPr>
            <w:tcW w:w="1141"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[Amount]</w:t>
            </w:r>
          </w:p>
        </w:tc>
      </w:tr>
      <w:tr>
        <w:trPr/>
        <w:tc>
          <w:tcPr>
            <w:tcW w:w="2274"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Mobile HR Check-In</w:t>
            </w:r>
          </w:p>
        </w:tc>
        <w:tc>
          <w:tcPr>
            <w:tcW w:w="6223"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Geotagged check-in feature for field staff via mobile app.</w:t>
            </w:r>
          </w:p>
        </w:tc>
        <w:tc>
          <w:tcPr>
            <w:tcW w:w="1141"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[Amount]</w:t>
            </w:r>
          </w:p>
        </w:tc>
      </w:tr>
      <w:tr>
        <w:trPr/>
        <w:tc>
          <w:tcPr>
            <w:tcW w:w="2274"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Advanced Gantt View</w:t>
            </w:r>
          </w:p>
        </w:tc>
        <w:tc>
          <w:tcPr>
            <w:tcW w:w="6223"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Interactive Gantt charts for programme schedule management.</w:t>
            </w:r>
          </w:p>
        </w:tc>
        <w:tc>
          <w:tcPr>
            <w:tcW w:w="1141" w:type="dxa"/>
            <w:tcBorders>
              <w:bottom w:val="single" w:sz="2" w:space="0" w:color="000000"/>
            </w:tcBorders>
            <w:vAlign w:val="center"/>
          </w:tcPr>
          <w:p>
            <w:pPr>
              <w:pStyle w:val="TableContents"/>
              <w:bidi w:val="0"/>
              <w:spacing w:lineRule="atLeast" w:line="375"/>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[Amount]</w:t>
            </w:r>
          </w:p>
        </w:tc>
      </w:tr>
    </w:tbl>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3. Hosting &amp; Support Costs (Post Go-Live)</w:t>
      </w:r>
    </w:p>
    <w:tbl>
      <w:tblPr>
        <w:tblW w:w="9638" w:type="dxa"/>
        <w:jc w:val="start"/>
        <w:tblInd w:w="0" w:type="dxa"/>
        <w:tblLayout w:type="fixed"/>
        <w:tblCellMar>
          <w:top w:w="0" w:type="dxa"/>
          <w:start w:w="0" w:type="dxa"/>
          <w:bottom w:w="150" w:type="dxa"/>
          <w:end w:w="0" w:type="dxa"/>
        </w:tblCellMar>
      </w:tblPr>
      <w:tblGrid>
        <w:gridCol w:w="2036"/>
        <w:gridCol w:w="4575"/>
        <w:gridCol w:w="1469"/>
        <w:gridCol w:w="1558"/>
      </w:tblGrid>
      <w:tr>
        <w:trPr>
          <w:tblHeader w:val="true"/>
        </w:trPr>
        <w:tc>
          <w:tcPr>
            <w:tcW w:w="2036" w:type="dxa"/>
            <w:tcBorders>
              <w:bottom w:val="single" w:sz="2" w:space="0" w:color="000000"/>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Item</w:t>
            </w:r>
          </w:p>
        </w:tc>
        <w:tc>
          <w:tcPr>
            <w:tcW w:w="4575" w:type="dxa"/>
            <w:tcBorders>
              <w:bottom w:val="single" w:sz="2" w:space="0" w:color="000000"/>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Description</w:t>
            </w:r>
          </w:p>
        </w:tc>
        <w:tc>
          <w:tcPr>
            <w:tcW w:w="1469" w:type="dxa"/>
            <w:tcBorders>
              <w:bottom w:val="single" w:sz="2" w:space="0" w:color="000000"/>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Monthly Fee (N)</w:t>
            </w:r>
          </w:p>
        </w:tc>
        <w:tc>
          <w:tcPr>
            <w:tcW w:w="1558" w:type="dxa"/>
            <w:tcBorders>
              <w:bottom w:val="single" w:sz="2" w:space="0" w:color="000000"/>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Annual Fee (N)</w:t>
            </w:r>
          </w:p>
        </w:tc>
      </w:tr>
      <w:tr>
        <w:trPr/>
        <w:tc>
          <w:tcPr>
            <w:tcW w:w="2036" w:type="dxa"/>
            <w:tcBorders>
              <w:bottom w:val="single" w:sz="2" w:space="0" w:color="000000"/>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Cloud Hosting</w:t>
            </w:r>
          </w:p>
        </w:tc>
        <w:tc>
          <w:tcPr>
            <w:tcW w:w="4575"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Secure, scalable hosting with daily backups. (99.9% uptime SLA).</w:t>
            </w:r>
          </w:p>
        </w:tc>
        <w:tc>
          <w:tcPr>
            <w:tcW w:w="1469"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[Amount]</w:t>
            </w:r>
          </w:p>
        </w:tc>
        <w:tc>
          <w:tcPr>
            <w:tcW w:w="1558"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[Amount x 12]</w:t>
            </w:r>
          </w:p>
        </w:tc>
      </w:tr>
      <w:tr>
        <w:trPr/>
        <w:tc>
          <w:tcPr>
            <w:tcW w:w="2036" w:type="dxa"/>
            <w:tcBorders>
              <w:bottom w:val="single" w:sz="2" w:space="0" w:color="000000"/>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Year 1 Support Retainer</w:t>
            </w:r>
          </w:p>
        </w:tc>
        <w:tc>
          <w:tcPr>
            <w:tcW w:w="4575"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Includes bug fixes, security patches, and 20 hours/month of minor enhancements.</w:t>
            </w:r>
          </w:p>
        </w:tc>
        <w:tc>
          <w:tcPr>
            <w:tcW w:w="1469"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[Amount]</w:t>
            </w:r>
          </w:p>
        </w:tc>
        <w:tc>
          <w:tcPr>
            <w:tcW w:w="1558"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[Amount x 12]</w:t>
            </w:r>
          </w:p>
        </w:tc>
      </w:tr>
      <w:tr>
        <w:trPr/>
        <w:tc>
          <w:tcPr>
            <w:tcW w:w="2036" w:type="dxa"/>
            <w:tcBorders>
              <w:bottom w:val="single" w:sz="2" w:space="0" w:color="000000"/>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Year 2 Support (Indicative)</w:t>
            </w:r>
          </w:p>
        </w:tc>
        <w:tc>
          <w:tcPr>
            <w:tcW w:w="4575"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Renewal of support retainer.</w:t>
            </w:r>
          </w:p>
        </w:tc>
        <w:tc>
          <w:tcPr>
            <w:tcW w:w="1469"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[Amount - 10%]</w:t>
            </w:r>
          </w:p>
        </w:tc>
        <w:tc>
          <w:tcPr>
            <w:tcW w:w="1558"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[Amount - 10% x 12]</w:t>
            </w:r>
          </w:p>
        </w:tc>
      </w:tr>
      <w:tr>
        <w:trPr/>
        <w:tc>
          <w:tcPr>
            <w:tcW w:w="2036" w:type="dxa"/>
            <w:tcBorders>
              <w:bottom w:val="single" w:sz="2" w:space="0" w:color="000000"/>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Year 3 Support (Indicative)</w:t>
            </w:r>
          </w:p>
        </w:tc>
        <w:tc>
          <w:tcPr>
            <w:tcW w:w="4575"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Renewal of support retainer.</w:t>
            </w:r>
          </w:p>
        </w:tc>
        <w:tc>
          <w:tcPr>
            <w:tcW w:w="1469"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[Amount - 15%]</w:t>
            </w:r>
          </w:p>
        </w:tc>
        <w:tc>
          <w:tcPr>
            <w:tcW w:w="1558"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[Amount - 15% x 12]</w:t>
            </w:r>
          </w:p>
        </w:tc>
      </w:tr>
      <w:tr>
        <w:trPr/>
        <w:tc>
          <w:tcPr>
            <w:tcW w:w="2036" w:type="dxa"/>
            <w:tcBorders>
              <w:bottom w:val="single" w:sz="2" w:space="0" w:color="000000"/>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Training (if not included)</w:t>
            </w:r>
          </w:p>
        </w:tc>
        <w:tc>
          <w:tcPr>
            <w:tcW w:w="4575"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Refresher or new user training sessions.</w:t>
            </w:r>
          </w:p>
        </w:tc>
        <w:tc>
          <w:tcPr>
            <w:tcW w:w="1469"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[Hourly/Daily Rate]</w:t>
            </w:r>
          </w:p>
        </w:tc>
        <w:tc>
          <w:tcPr>
            <w:tcW w:w="1558" w:type="dxa"/>
            <w:tcBorders>
              <w:bottom w:val="single" w:sz="2" w:space="0" w:color="000000"/>
            </w:tcBorders>
            <w:vAlign w:val="center"/>
          </w:tcPr>
          <w:p>
            <w:pPr>
              <w:pStyle w:val="TableContents"/>
              <w:bidi w:val="0"/>
              <w:spacing w:lineRule="atLeast" w:line="375"/>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N/A</w:t>
            </w:r>
          </w:p>
        </w:tc>
      </w:tr>
    </w:tbl>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Total 3-Year Cost of Ownership (Development + Hosting + Support):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N [Calculated Total]</w:t>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Proposed Payment Terms (Linked to Acceptance Gates)</w:t>
      </w:r>
    </w:p>
    <w:p>
      <w:pPr>
        <w:pStyle w:val="BodyText"/>
        <w:widowControl/>
        <w:bidi w:val="0"/>
        <w:spacing w:before="24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We accept the proposed milestone-linked payment schedule in Section 10.2 of the RFP.</w:t>
      </w:r>
    </w:p>
    <w:tbl>
      <w:tblPr>
        <w:tblW w:w="9638" w:type="dxa"/>
        <w:jc w:val="start"/>
        <w:tblInd w:w="0" w:type="dxa"/>
        <w:tblLayout w:type="fixed"/>
        <w:tblCellMar>
          <w:top w:w="0" w:type="dxa"/>
          <w:start w:w="0" w:type="dxa"/>
          <w:bottom w:w="150" w:type="dxa"/>
          <w:end w:w="0" w:type="dxa"/>
        </w:tblCellMar>
      </w:tblPr>
      <w:tblGrid>
        <w:gridCol w:w="2938"/>
        <w:gridCol w:w="5403"/>
        <w:gridCol w:w="1297"/>
      </w:tblGrid>
      <w:tr>
        <w:trPr>
          <w:tblHeader w:val="true"/>
        </w:trPr>
        <w:tc>
          <w:tcPr>
            <w:tcW w:w="2938" w:type="dxa"/>
            <w:tcBorders>
              <w:bottom w:val="single" w:sz="2" w:space="0" w:color="000000"/>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Payment Milestone</w:t>
            </w:r>
          </w:p>
        </w:tc>
        <w:tc>
          <w:tcPr>
            <w:tcW w:w="5403" w:type="dxa"/>
            <w:tcBorders>
              <w:bottom w:val="single" w:sz="2" w:space="0" w:color="000000"/>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Trigger</w:t>
            </w:r>
          </w:p>
        </w:tc>
        <w:tc>
          <w:tcPr>
            <w:tcW w:w="1297" w:type="dxa"/>
            <w:tcBorders>
              <w:bottom w:val="single" w:sz="2" w:space="0" w:color="000000"/>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 of Dev. Fee</w:t>
            </w:r>
          </w:p>
        </w:tc>
      </w:tr>
      <w:tr>
        <w:trPr/>
        <w:tc>
          <w:tcPr>
            <w:tcW w:w="2938"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1. P0 Mobilisation</w:t>
            </w:r>
          </w:p>
        </w:tc>
        <w:tc>
          <w:tcPr>
            <w:tcW w:w="5403"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Contract execution.</w:t>
            </w:r>
          </w:p>
        </w:tc>
        <w:tc>
          <w:tcPr>
            <w:tcW w:w="1297"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10%</w:t>
            </w:r>
          </w:p>
        </w:tc>
      </w:tr>
      <w:tr>
        <w:trPr/>
        <w:tc>
          <w:tcPr>
            <w:tcW w:w="2938"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2. P1 Lite Version Accepted</w:t>
            </w:r>
          </w:p>
        </w:tc>
        <w:tc>
          <w:tcPr>
            <w:tcW w:w="5403"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Written sign-off on Lite Version (by end of Week 2).</w:t>
            </w:r>
          </w:p>
        </w:tc>
        <w:tc>
          <w:tcPr>
            <w:tcW w:w="1297"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25%</w:t>
            </w:r>
          </w:p>
        </w:tc>
      </w:tr>
      <w:tr>
        <w:trPr/>
        <w:tc>
          <w:tcPr>
            <w:tcW w:w="2938"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3. P2 Full Configuration Accepted</w:t>
            </w:r>
          </w:p>
        </w:tc>
        <w:tc>
          <w:tcPr>
            <w:tcW w:w="5403"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UAT sign-off on Modules 6 &amp; 7; FDT integration tested.</w:t>
            </w:r>
          </w:p>
        </w:tc>
        <w:tc>
          <w:tcPr>
            <w:tcW w:w="1297"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35%</w:t>
            </w:r>
          </w:p>
        </w:tc>
      </w:tr>
      <w:tr>
        <w:trPr/>
        <w:tc>
          <w:tcPr>
            <w:tcW w:w="2938"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4. P3 Full Go-Live</w:t>
            </w:r>
          </w:p>
        </w:tc>
        <w:tc>
          <w:tcPr>
            <w:tcW w:w="5403"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Production go-live confirmed; training complete (by end of Week 8).</w:t>
            </w:r>
          </w:p>
        </w:tc>
        <w:tc>
          <w:tcPr>
            <w:tcW w:w="1297"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20%</w:t>
            </w:r>
          </w:p>
        </w:tc>
      </w:tr>
      <w:tr>
        <w:trPr/>
        <w:tc>
          <w:tcPr>
            <w:tcW w:w="2938"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5. P4 Final Handover</w:t>
            </w:r>
          </w:p>
        </w:tc>
        <w:tc>
          <w:tcPr>
            <w:tcW w:w="5403"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All documentation delivered; pen test report accepted.</w:t>
            </w:r>
          </w:p>
        </w:tc>
        <w:tc>
          <w:tcPr>
            <w:tcW w:w="1297" w:type="dxa"/>
            <w:tcBorders>
              <w:bottom w:val="single" w:sz="2" w:space="0" w:color="000000"/>
            </w:tcBorders>
            <w:vAlign w:val="center"/>
          </w:tcPr>
          <w:p>
            <w:pPr>
              <w:pStyle w:val="TableContents"/>
              <w:bidi w:val="0"/>
              <w:spacing w:lineRule="atLeast" w:line="375"/>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10%</w:t>
            </w:r>
          </w:p>
        </w:tc>
      </w:tr>
    </w:tbl>
    <w:p>
      <w:pPr>
        <w:pStyle w:val="HorizontalLine"/>
        <w:bidi w:val="0"/>
        <w:jc w:val="start"/>
        <w:rPr/>
      </w:pPr>
      <w:r>
        <w:rPr/>
      </w:r>
    </w:p>
    <w:p>
      <w:pPr>
        <w:pStyle w:val="Heading2"/>
        <w:widowControl/>
        <w:bidi w:val="0"/>
        <w:spacing w:lineRule="atLeast" w:line="48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t>Section F: Compliance Declarations</w:t>
      </w:r>
    </w:p>
    <w:p>
      <w:pPr>
        <w:pStyle w:val="BodyText"/>
        <w:widowControl/>
        <w:numPr>
          <w:ilvl w:val="0"/>
          <w:numId w:val="5"/>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Conflict of Interest: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We declare no conflict of interest with Inspired Global Systems Ltd or any party involved in the programme.</w:t>
      </w:r>
    </w:p>
    <w:p>
      <w:pPr>
        <w:pStyle w:val="BodyText"/>
        <w:widowControl/>
        <w:numPr>
          <w:ilvl w:val="0"/>
          <w:numId w:val="5"/>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Data Protection: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We declare full compliance with the Nigeria Data Protection Regulation (NDPR) and any other applicable data protection legislation for the deployment jurisdiction. We will sign a standard Data Processing Agreement (DPA).</w:t>
      </w:r>
    </w:p>
    <w:p>
      <w:pPr>
        <w:pStyle w:val="BodyText"/>
        <w:widowControl/>
        <w:numPr>
          <w:ilvl w:val="0"/>
          <w:numId w:val="5"/>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Data Ownership &amp; Exit: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We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fully accept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the data ownership and exit provisions in Section 4.6. All programme data belongs to IGSL. We will place the source code for all custom-built modules in a source code escrow account, with IGSL named as the beneficiary.</w:t>
      </w:r>
    </w:p>
    <w:p>
      <w:pPr>
        <w:pStyle w:val="BodyText"/>
        <w:widowControl/>
        <w:numPr>
          <w:ilvl w:val="0"/>
          <w:numId w:val="5"/>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Service Level Requirements: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We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fully accept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the service level requirements in Section 5, including the 99.5% uptime SLA, 4-hour RTO, and all response times.</w:t>
      </w:r>
    </w:p>
    <w:p>
      <w:pPr>
        <w:pStyle w:val="BodyText"/>
        <w:widowControl/>
        <w:numPr>
          <w:ilvl w:val="0"/>
          <w:numId w:val="5"/>
        </w:numPr>
        <w:pBdr/>
        <w:tabs>
          <w:tab w:val="clear" w:pos="709"/>
          <w:tab w:val="left" w:pos="0" w:leader="none"/>
        </w:tabs>
        <w:bidi w:val="0"/>
        <w:spacing w:before="0" w:after="12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Timeline Commitment:</w:t>
      </w:r>
    </w:p>
    <w:p>
      <w:pPr>
        <w:pStyle w:val="BodyText"/>
        <w:widowControl/>
        <w:numPr>
          <w:ilvl w:val="1"/>
          <w:numId w:val="5"/>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Lite Version Commitment: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End of Week 2 (RFP requires Week 3).</w:t>
      </w:r>
    </w:p>
    <w:p>
      <w:pPr>
        <w:pStyle w:val="BodyText"/>
        <w:widowControl/>
        <w:numPr>
          <w:ilvl w:val="1"/>
          <w:numId w:val="5"/>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Full Go-Live Commitment: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End of Week 8 (RFP requires Week 10).</w:t>
      </w:r>
    </w:p>
    <w:p>
      <w:pPr>
        <w:pStyle w:val="BodyText"/>
        <w:widowControl/>
        <w:numPr>
          <w:ilvl w:val="0"/>
          <w:numId w:val="5"/>
        </w:numPr>
        <w:pBdr/>
        <w:tabs>
          <w:tab w:val="clear" w:pos="709"/>
          <w:tab w:val="left" w:pos="0" w:leader="none"/>
        </w:tabs>
        <w:bidi w:val="0"/>
        <w:spacing w:before="0" w:after="12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Exceptions:</w:t>
      </w:r>
    </w:p>
    <w:p>
      <w:pPr>
        <w:pStyle w:val="BodyText"/>
        <w:widowControl/>
        <w:numPr>
          <w:ilvl w:val="1"/>
          <w:numId w:val="5"/>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None. We confirm our solution meets all Mandatory requirements, and we have listed our approaches to High and Desirable requirements in Section C.</w:t>
      </w:r>
    </w:p>
    <w:p>
      <w:pPr>
        <w:pStyle w:val="Normal"/>
        <w:bidi w:val="0"/>
        <w:jc w:val="start"/>
        <w:rPr/>
      </w:pPr>
      <w:r>
        <w:rPr/>
      </w:r>
    </w:p>
    <w:sectPr>
      <w:footerReference w:type="default" r:id="rId2"/>
      <w:type w:val="nextPage"/>
      <w:pgSz w:w="11906" w:h="16838"/>
      <w:pgMar w:left="1134" w:right="1134" w:gutter="0" w:header="0" w:top="1134" w:footer="1134" w:bottom="1693"/>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quote-cjk-patch">
    <w:altName w:val="Inter"/>
    <w:charset w:val="01" w:characterSet="utf-8"/>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end"/>
      <w:rPr/>
    </w:pPr>
    <w:bookmarkStart w:id="0" w:name="PageNumWizard_FOOTER_Default_Page_Style1"/>
    <w:r>
      <w:rPr/>
      <w:fldChar w:fldCharType="begin"/>
    </w:r>
    <w:r>
      <w:rPr/>
      <w:instrText xml:space="preserve"> PAGE </w:instrText>
    </w:r>
    <w:r>
      <w:rPr/>
      <w:fldChar w:fldCharType="separate"/>
    </w:r>
    <w:r>
      <w:rPr/>
      <w:t>18</w:t>
    </w:r>
    <w:r>
      <w:rPr/>
      <w:fldChar w:fldCharType="end"/>
    </w:r>
    <w:bookmarkEnd w:id="0"/>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suff w:val="nothing"/>
      <w:lvlText w:val=""/>
      <w:lvlJc w:val="start"/>
      <w:pPr>
        <w:tabs>
          <w:tab w:val="num" w:pos="0"/>
        </w:tabs>
        <w:ind w:start="0" w:hanging="0"/>
      </w:pPr>
      <w:rPr>
        <w:rFonts w:ascii="Symbol" w:hAnsi="Symbol" w:cs="Symbol" w:hint="default"/>
      </w:rPr>
    </w:lvl>
    <w:lvl w:ilvl="1">
      <w:start w:val="1"/>
      <w:numFmt w:val="bullet"/>
      <w:suff w:val="nothing"/>
      <w:lvlText w:val=""/>
      <w:lvlJc w:val="start"/>
      <w:pPr>
        <w:tabs>
          <w:tab w:val="num" w:pos="0"/>
        </w:tabs>
        <w:ind w:start="0" w:hanging="0"/>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56</TotalTime>
  <Application>LibreOffice/24.2.7.2$Linux_X86_64 LibreOffice_project/420$Build-2</Application>
  <AppVersion>15.0000</AppVersion>
  <Pages>18</Pages>
  <Words>3348</Words>
  <Characters>19812</Characters>
  <CharactersWithSpaces>22715</CharactersWithSpaces>
  <Paragraphs>421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2026-03-12T20:14:56Z</dcterms:created>
  <dc:creator/>
  <dc:description/>
  <dc:language>en-US</dc:language>
  <cp:lastModifiedBy/>
  <dcterms:modified xsi:type="dcterms:W3CDTF">2026-03-12T21:11:52Z</dcterms:modified>
  <cp:revision>8</cp:revision>
  <dc:subject/>
  <dc:title/>
</cp:coreProperties>
</file>