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BodyGenius AI</w:t>
      </w:r>
    </w:p>
    <w:p>
      <w:pPr>
        <w:spacing w:after="200"/>
        <w:jc w:val="center"/>
      </w:pPr>
      <w:r>
        <w:rPr>
          <w:color w:val="64748B"/>
          <w:sz w:val="28"/>
          <w:szCs w:val="28"/>
        </w:rPr>
        <w:t xml:space="preserve">Production-Ready Architecture</w:t>
      </w:r>
    </w:p>
    <w:p>
      <w:pPr>
        <w:spacing w:after="600"/>
        <w:jc w:val="center"/>
      </w:pPr>
      <w:r>
        <w:rPr>
          <w:color w:val="94A3B8"/>
          <w:sz w:val="24"/>
          <w:szCs w:val="24"/>
        </w:rPr>
        <w:t xml:space="preserve">AI-Powered Fitness Application</w:t>
      </w:r>
    </w:p>
    <w:p>
      <w:pPr>
        <w:spacing w:after="200"/>
        <w:jc w:val="center"/>
      </w:pPr>
      <w:r>
        <w:rPr>
          <w:i/>
          <w:iCs/>
          <w:color w:val="64748B"/>
          <w:sz w:val="22"/>
          <w:szCs w:val="22"/>
        </w:rPr>
        <w:t xml:space="preserve">MVP → Scalable SaaS Platform</w:t>
      </w:r>
    </w:p>
    <w:p>
      <w:pPr>
        <w:spacing w:before="800"/>
        <w:jc w:val="center"/>
      </w:pPr>
      <w:r>
        <w:rPr>
          <w:color w:val="94A3B8"/>
          <w:sz w:val="20"/>
          <w:szCs w:val="20"/>
        </w:rPr>
        <w:t xml:space="preserve">Version 1.0 | 2024</w:t>
      </w:r>
    </w:p>
    <w:p>
      <w:pPr>
        <w:spacing w:before="600"/>
      </w:pPr>
    </w:p>
    <w:sdt>
      <w:sdtPr>
        <w:alias w:val="Table of Contents"/>
      </w:sdtPr>
      <w:sdtContent>
        <w:p>
          <w:r>
            <w:fldChar w:fldCharType="begin" w:dirty="true"/>
            <w:instrText xml:space="preserve">TOC \h \o "1-3"</w:instrText>
            <w:fldChar w:fldCharType="separate"/>
          </w:r>
        </w:p>
        <w:p>
          <w:r>
            <w:fldChar w:fldCharType="end"/>
          </w:r>
        </w:p>
      </w:sdtContent>
    </w:sdt>
    <w:p>
      <w:pPr>
        <w:spacing w:before="200"/>
        <w:jc w:val="center"/>
      </w:pPr>
      <w:r>
        <w:rPr>
          <w:i/>
          <w:iCs/>
          <w:color w:val="999999"/>
          <w:sz w:val="18"/>
          <w:szCs w:val="18"/>
        </w:rPr>
        <w:t xml:space="preserve">Note: Right-click TOC and select "Update Field" to refresh page numbers.</w:t>
      </w:r>
    </w:p>
    <w:p>
      <w:pPr>
        <w:pStyle w:val="Heading1"/>
      </w:pPr>
      <w:r>
        <w:t xml:space="preserve">1. Project Overview</w:t>
      </w:r>
    </w:p>
    <w:p>
      <w:pPr>
        <w:spacing w:after="200"/>
      </w:pPr>
      <w:r>
        <w:rPr>
          <w:sz w:val="24"/>
          <w:szCs w:val="24"/>
        </w:rPr>
        <w:t xml:space="preserve">BodyGenius AI is a comprehensive mobile fitness application with AI-powered personalization. The platform functions as a digital personal trainer that generates customized workout programs, creates personalized nutrition plans, adapts weekly based on user progress, and provides continuous AI support. The application operates on a subscription model with three tiers: Free, Pro, and Elite, targeting the CIS and European markets with a phased approach from MVP to full-scale SaaS platform.</w:t>
      </w:r>
    </w:p>
    <w:p>
      <w:pPr>
        <w:pStyle w:val="Heading2"/>
      </w:pPr>
      <w:r>
        <w:t xml:space="preserve">1.1 Core Value Proposition</w:t>
      </w:r>
    </w:p>
    <w:p>
      <w:pPr>
        <w:spacing w:after="100"/>
      </w:pPr>
      <w:r>
        <w:rPr>
          <w:sz w:val="24"/>
          <w:szCs w:val="24"/>
        </w:rPr>
        <w:t xml:space="preserve">The primary objective centers on creating an intelligent fitness companion that eliminates the need for expensive personal trainers while delivering comparable results. Unlike generic fitness applications that provide static workout libraries, BodyGenius AI dynamically generates personalized programs based on individual user data, including physical parameters, available equipment, time constraints, and specific fitness objectives. The AI continuously learns from user feedback and progress data to optimize future recommendations, creating a truly adaptive fitness experience.</w:t>
      </w:r>
    </w:p>
    <w:p>
      <w:pPr>
        <w:pStyle w:val="Heading2"/>
      </w:pPr>
      <w:r>
        <w:t xml:space="preserve">1.2 Target Market</w:t>
      </w:r>
    </w:p>
    <w:p>
      <w:pPr>
        <w:spacing w:after="100"/>
      </w:pPr>
      <w:r>
        <w:rPr>
          <w:sz w:val="24"/>
          <w:szCs w:val="24"/>
        </w:rPr>
        <w:t xml:space="preserve">The primary target audience consists of health-conscious individuals aged 18-45 who seek structured fitness guidance without the recurring costs of personal training. Secondary markets include fitness enthusiasts who have exhausted free resources and require more sophisticated program design, as well as individuals returning to fitness after extended breaks who need progressive, manageable programming. The application specifically avoids medical recommendations and极端 diet suggestions, positioning itself as a fitness tool rather than a healthcare solution.</w:t>
      </w:r>
    </w:p>
    <w:p>
      <w:pPr>
        <w:pStyle w:val="Heading1"/>
      </w:pPr>
      <w:r>
        <w:t xml:space="preserve">2. Technology Stack</w:t>
      </w:r>
    </w:p>
    <w:p>
      <w:pPr>
        <w:spacing w:after="200"/>
      </w:pPr>
      <w:r>
        <w:rPr>
          <w:sz w:val="24"/>
          <w:szCs w:val="24"/>
        </w:rPr>
        <w:t xml:space="preserve">The technology stack represents a carefully considered balance between development velocity, operational costs, and scalability potential. Each component was selected to minimize initial investment while preserving the ability to scale seamlessly as the user base grows. The architecture follows modern best practices for maintainable, testable, and deployable software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020617" w:sz="12"/>
              <w:left w:val="nil"/>
              <w:bottom w:val="single" w:color="020617" w:sz="12"/>
              <w:right w:val="nil"/>
            </w:tcBorders>
            <w:shd w:fill="F8FAFC" w:val="clear"/>
            <w:vAlign w:val="center"/>
          </w:tcPr>
          <w:p>
            <w:pPr>
              <w:jc w:val="center"/>
            </w:pPr>
            <w:r>
              <w:rPr>
                <w:b/>
                <w:bCs/>
                <w:sz w:val="22"/>
                <w:szCs w:val="22"/>
              </w:rPr>
              <w:t xml:space="preserve">Layer</w:t>
            </w:r>
          </w:p>
        </w:tc>
        <w:tc>
          <w:tcPr>
            <w:tcW w:type="dxa" w:w="3510"/>
            <w:tcBorders>
              <w:top w:val="single" w:color="020617" w:sz="12"/>
              <w:left w:val="nil"/>
              <w:bottom w:val="single" w:color="020617" w:sz="12"/>
              <w:right w:val="nil"/>
            </w:tcBorders>
            <w:shd w:fill="F8FAFC" w:val="clear"/>
            <w:vAlign w:val="center"/>
          </w:tcPr>
          <w:p>
            <w:pPr>
              <w:jc w:val="center"/>
            </w:pPr>
            <w:r>
              <w:rPr>
                <w:b/>
                <w:bCs/>
                <w:sz w:val="22"/>
                <w:szCs w:val="22"/>
              </w:rPr>
              <w:t xml:space="preserve">Technology</w:t>
            </w:r>
          </w:p>
        </w:tc>
        <w:tc>
          <w:tcPr>
            <w:tcW w:type="dxa" w:w="3510"/>
            <w:tcBorders>
              <w:top w:val="single" w:color="020617" w:sz="12"/>
              <w:left w:val="nil"/>
              <w:bottom w:val="single" w:color="020617" w:sz="12"/>
              <w:right w:val="nil"/>
            </w:tcBorders>
            <w:shd w:fill="F8FAFC" w:val="clear"/>
            <w:vAlign w:val="center"/>
          </w:tcPr>
          <w:p>
            <w:pPr>
              <w:jc w:val="center"/>
            </w:pPr>
            <w:r>
              <w:rPr>
                <w:b/>
                <w:bCs/>
                <w:sz w:val="22"/>
                <w:szCs w:val="22"/>
              </w:rPr>
              <w:t xml:space="preserve">Justification</w:t>
            </w:r>
          </w:p>
        </w:tc>
      </w:tr>
      <w:tr>
        <w:tc>
          <w:tcPr>
            <w:tcBorders>
              <w:top w:val="single" w:color="020617" w:sz="12"/>
              <w:left w:val="nil"/>
              <w:bottom w:val="single" w:color="020617" w:sz="12"/>
              <w:right w:val="nil"/>
            </w:tcBorders>
          </w:tcPr>
          <w:p>
            <w:r>
              <w:rPr>
                <w:sz w:val="22"/>
                <w:szCs w:val="22"/>
              </w:rPr>
              <w:t xml:space="preserve">Frontend</w:t>
            </w:r>
          </w:p>
        </w:tc>
        <w:tc>
          <w:tcPr>
            <w:tcBorders>
              <w:top w:val="single" w:color="020617" w:sz="12"/>
              <w:left w:val="nil"/>
              <w:bottom w:val="single" w:color="020617" w:sz="12"/>
              <w:right w:val="nil"/>
            </w:tcBorders>
          </w:tcPr>
          <w:p>
            <w:r>
              <w:rPr>
                <w:sz w:val="22"/>
                <w:szCs w:val="22"/>
              </w:rPr>
              <w:t xml:space="preserve">Flutter 3.x</w:t>
            </w:r>
          </w:p>
        </w:tc>
        <w:tc>
          <w:tcPr>
            <w:tcBorders>
              <w:top w:val="single" w:color="020617" w:sz="12"/>
              <w:left w:val="nil"/>
              <w:bottom w:val="single" w:color="020617" w:sz="12"/>
              <w:right w:val="nil"/>
            </w:tcBorders>
          </w:tcPr>
          <w:p>
            <w:r>
              <w:rPr>
                <w:sz w:val="22"/>
                <w:szCs w:val="22"/>
              </w:rPr>
              <w:t xml:space="preserve">Single codebase for iOS/Android</w:t>
            </w:r>
          </w:p>
        </w:tc>
      </w:tr>
      <w:tr>
        <w:tc>
          <w:tcPr>
            <w:tcBorders>
              <w:top w:val="single" w:color="020617" w:sz="12"/>
              <w:left w:val="nil"/>
              <w:bottom w:val="single" w:color="020617" w:sz="12"/>
              <w:right w:val="nil"/>
            </w:tcBorders>
          </w:tcPr>
          <w:p>
            <w:r>
              <w:rPr>
                <w:sz w:val="22"/>
                <w:szCs w:val="22"/>
              </w:rPr>
              <w:t xml:space="preserve">Backend</w:t>
            </w:r>
          </w:p>
        </w:tc>
        <w:tc>
          <w:tcPr>
            <w:tcBorders>
              <w:top w:val="single" w:color="020617" w:sz="12"/>
              <w:left w:val="nil"/>
              <w:bottom w:val="single" w:color="020617" w:sz="12"/>
              <w:right w:val="nil"/>
            </w:tcBorders>
          </w:tcPr>
          <w:p>
            <w:r>
              <w:rPr>
                <w:sz w:val="22"/>
                <w:szCs w:val="22"/>
              </w:rPr>
              <w:t xml:space="preserve">Python + FastAPI</w:t>
            </w:r>
          </w:p>
        </w:tc>
        <w:tc>
          <w:tcPr>
            <w:tcBorders>
              <w:top w:val="single" w:color="020617" w:sz="12"/>
              <w:left w:val="nil"/>
              <w:bottom w:val="single" w:color="020617" w:sz="12"/>
              <w:right w:val="nil"/>
            </w:tcBorders>
          </w:tcPr>
          <w:p>
            <w:r>
              <w:rPr>
                <w:sz w:val="22"/>
                <w:szCs w:val="22"/>
              </w:rPr>
              <w:t xml:space="preserve">Async, high performance, rapid development</w:t>
            </w:r>
          </w:p>
        </w:tc>
      </w:tr>
      <w:tr>
        <w:tc>
          <w:tcPr>
            <w:tcBorders>
              <w:top w:val="single" w:color="020617" w:sz="12"/>
              <w:left w:val="nil"/>
              <w:bottom w:val="single" w:color="020617" w:sz="12"/>
              <w:right w:val="nil"/>
            </w:tcBorders>
          </w:tcPr>
          <w:p>
            <w:r>
              <w:rPr>
                <w:sz w:val="22"/>
                <w:szCs w:val="22"/>
              </w:rPr>
              <w:t xml:space="preserve">Database</w:t>
            </w:r>
          </w:p>
        </w:tc>
        <w:tc>
          <w:tcPr>
            <w:tcBorders>
              <w:top w:val="single" w:color="020617" w:sz="12"/>
              <w:left w:val="nil"/>
              <w:bottom w:val="single" w:color="020617" w:sz="12"/>
              <w:right w:val="nil"/>
            </w:tcBorders>
          </w:tcPr>
          <w:p>
            <w:r>
              <w:rPr>
                <w:sz w:val="22"/>
                <w:szCs w:val="22"/>
              </w:rPr>
              <w:t xml:space="preserve">PostgreSQL</w:t>
            </w:r>
          </w:p>
        </w:tc>
        <w:tc>
          <w:tcPr>
            <w:tcBorders>
              <w:top w:val="single" w:color="020617" w:sz="12"/>
              <w:left w:val="nil"/>
              <w:bottom w:val="single" w:color="020617" w:sz="12"/>
              <w:right w:val="nil"/>
            </w:tcBorders>
          </w:tcPr>
          <w:p>
            <w:r>
              <w:rPr>
                <w:sz w:val="22"/>
                <w:szCs w:val="22"/>
              </w:rPr>
              <w:t xml:space="preserve">Relational integrity, ACID compliance</w:t>
            </w:r>
          </w:p>
        </w:tc>
      </w:tr>
      <w:tr>
        <w:tc>
          <w:tcPr>
            <w:tcBorders>
              <w:top w:val="single" w:color="020617" w:sz="12"/>
              <w:left w:val="nil"/>
              <w:bottom w:val="single" w:color="020617" w:sz="12"/>
              <w:right w:val="nil"/>
            </w:tcBorders>
          </w:tcPr>
          <w:p>
            <w:r>
              <w:rPr>
                <w:sz w:val="22"/>
                <w:szCs w:val="22"/>
              </w:rPr>
              <w:t xml:space="preserve">Cache</w:t>
            </w:r>
          </w:p>
        </w:tc>
        <w:tc>
          <w:tcPr>
            <w:tcBorders>
              <w:top w:val="single" w:color="020617" w:sz="12"/>
              <w:left w:val="nil"/>
              <w:bottom w:val="single" w:color="020617" w:sz="12"/>
              <w:right w:val="nil"/>
            </w:tcBorders>
          </w:tcPr>
          <w:p>
            <w:r>
              <w:rPr>
                <w:sz w:val="22"/>
                <w:szCs w:val="22"/>
              </w:rPr>
              <w:t xml:space="preserve">Redis</w:t>
            </w:r>
          </w:p>
        </w:tc>
        <w:tc>
          <w:tcPr>
            <w:tcBorders>
              <w:top w:val="single" w:color="020617" w:sz="12"/>
              <w:left w:val="nil"/>
              <w:bottom w:val="single" w:color="020617" w:sz="12"/>
              <w:right w:val="nil"/>
            </w:tcBorders>
          </w:tcPr>
          <w:p>
            <w:r>
              <w:rPr>
                <w:sz w:val="22"/>
                <w:szCs w:val="22"/>
              </w:rPr>
              <w:t xml:space="preserve">Session management, rate limiting</w:t>
            </w:r>
          </w:p>
        </w:tc>
      </w:tr>
      <w:tr>
        <w:tc>
          <w:tcPr>
            <w:tcBorders>
              <w:top w:val="single" w:color="020617" w:sz="12"/>
              <w:left w:val="nil"/>
              <w:bottom w:val="single" w:color="020617" w:sz="12"/>
              <w:right w:val="nil"/>
            </w:tcBorders>
          </w:tcPr>
          <w:p>
            <w:r>
              <w:rPr>
                <w:sz w:val="22"/>
                <w:szCs w:val="22"/>
              </w:rPr>
              <w:t xml:space="preserve">AI</w:t>
            </w:r>
          </w:p>
        </w:tc>
        <w:tc>
          <w:tcPr>
            <w:tcBorders>
              <w:top w:val="single" w:color="020617" w:sz="12"/>
              <w:left w:val="nil"/>
              <w:bottom w:val="single" w:color="020617" w:sz="12"/>
              <w:right w:val="nil"/>
            </w:tcBorders>
          </w:tcPr>
          <w:p>
            <w:r>
              <w:rPr>
                <w:sz w:val="22"/>
                <w:szCs w:val="22"/>
              </w:rPr>
              <w:t xml:space="preserve">GPT-4 API</w:t>
            </w:r>
          </w:p>
        </w:tc>
        <w:tc>
          <w:tcPr>
            <w:tcBorders>
              <w:top w:val="single" w:color="020617" w:sz="12"/>
              <w:left w:val="nil"/>
              <w:bottom w:val="single" w:color="020617" w:sz="12"/>
              <w:right w:val="nil"/>
            </w:tcBorders>
          </w:tcPr>
          <w:p>
            <w:r>
              <w:rPr>
                <w:sz w:val="22"/>
                <w:szCs w:val="22"/>
              </w:rPr>
              <w:t xml:space="preserve">Natural language, structured JSON output</w:t>
            </w:r>
          </w:p>
        </w:tc>
      </w:tr>
      <w:tr>
        <w:tc>
          <w:tcPr>
            <w:tcBorders>
              <w:top w:val="single" w:color="020617" w:sz="12"/>
              <w:left w:val="nil"/>
              <w:bottom w:val="single" w:color="020617" w:sz="12"/>
              <w:right w:val="nil"/>
            </w:tcBorders>
          </w:tcPr>
          <w:p>
            <w:r>
              <w:rPr>
                <w:sz w:val="22"/>
                <w:szCs w:val="22"/>
              </w:rPr>
              <w:t xml:space="preserve">Auth</w:t>
            </w:r>
          </w:p>
        </w:tc>
        <w:tc>
          <w:tcPr>
            <w:tcBorders>
              <w:top w:val="single" w:color="020617" w:sz="12"/>
              <w:left w:val="nil"/>
              <w:bottom w:val="single" w:color="020617" w:sz="12"/>
              <w:right w:val="nil"/>
            </w:tcBorders>
          </w:tcPr>
          <w:p>
            <w:r>
              <w:rPr>
                <w:sz w:val="22"/>
                <w:szCs w:val="22"/>
              </w:rPr>
              <w:t xml:space="preserve">JWT + Refresh Tokens</w:t>
            </w:r>
          </w:p>
        </w:tc>
        <w:tc>
          <w:tcPr>
            <w:tcBorders>
              <w:top w:val="single" w:color="020617" w:sz="12"/>
              <w:left w:val="nil"/>
              <w:bottom w:val="single" w:color="020617" w:sz="12"/>
              <w:right w:val="nil"/>
            </w:tcBorders>
          </w:tcPr>
          <w:p>
            <w:r>
              <w:rPr>
                <w:sz w:val="22"/>
                <w:szCs w:val="22"/>
              </w:rPr>
              <w:t xml:space="preserve">Stateless, scalable authentication</w:t>
            </w:r>
          </w:p>
        </w:tc>
      </w:tr>
      <w:tr>
        <w:tc>
          <w:tcPr>
            <w:tcBorders>
              <w:top w:val="single" w:color="020617" w:sz="12"/>
              <w:left w:val="nil"/>
              <w:bottom w:val="single" w:color="020617" w:sz="12"/>
              <w:right w:val="nil"/>
            </w:tcBorders>
          </w:tcPr>
          <w:p>
            <w:r>
              <w:rPr>
                <w:sz w:val="22"/>
                <w:szCs w:val="22"/>
              </w:rPr>
              <w:t xml:space="preserve">Payments</w:t>
            </w:r>
          </w:p>
        </w:tc>
        <w:tc>
          <w:tcPr>
            <w:tcBorders>
              <w:top w:val="single" w:color="020617" w:sz="12"/>
              <w:left w:val="nil"/>
              <w:bottom w:val="single" w:color="020617" w:sz="12"/>
              <w:right w:val="nil"/>
            </w:tcBorders>
          </w:tcPr>
          <w:p>
            <w:r>
              <w:rPr>
                <w:sz w:val="22"/>
                <w:szCs w:val="22"/>
              </w:rPr>
              <w:t xml:space="preserve">Stripe (EU) + Alternatives (CIS)</w:t>
            </w:r>
          </w:p>
        </w:tc>
        <w:tc>
          <w:tcPr>
            <w:tcBorders>
              <w:top w:val="single" w:color="020617" w:sz="12"/>
              <w:left w:val="nil"/>
              <w:bottom w:val="single" w:color="020617" w:sz="12"/>
              <w:right w:val="nil"/>
            </w:tcBorders>
          </w:tcPr>
          <w:p>
            <w:r>
              <w:rPr>
                <w:sz w:val="22"/>
                <w:szCs w:val="22"/>
              </w:rPr>
              <w:t xml:space="preserve">Multi-region payment support</w:t>
            </w:r>
          </w:p>
        </w:tc>
      </w:tr>
    </w:tbl>
    <w:p>
      <w:pPr>
        <w:spacing w:before="100"/>
        <w:jc w:val="center"/>
      </w:pPr>
      <w:r>
        <w:rPr>
          <w:i/>
          <w:iCs/>
          <w:color w:val="64748B"/>
          <w:sz w:val="18"/>
          <w:szCs w:val="18"/>
        </w:rPr>
        <w:t xml:space="preserve">Table 1: Core Technology Stack Components</w:t>
      </w:r>
    </w:p>
    <w:p>
      <w:pPr>
        <w:pStyle w:val="Heading1"/>
      </w:pPr>
      <w:r>
        <w:t xml:space="preserve">3. Database Architecture</w:t>
      </w:r>
    </w:p>
    <w:p>
      <w:pPr>
        <w:spacing w:after="200"/>
      </w:pPr>
      <w:r>
        <w:rPr>
          <w:sz w:val="24"/>
          <w:szCs w:val="24"/>
        </w:rPr>
        <w:t xml:space="preserve">The database schema follows a normalized relational design optimized for the specific requirements of a fitness application. The architecture supports complex relationships between users, workout plans, exercises, nutrition data, and subscription management while maintaining query performance through strategic indexing. The design accommodates future expansion including social features, gamification elements, and advanced analytics.</w:t>
      </w:r>
    </w:p>
    <w:p>
      <w:pPr>
        <w:pStyle w:val="Heading2"/>
      </w:pPr>
      <w:r>
        <w:t xml:space="preserve">3.1 Core Entity Models</w:t>
      </w:r>
    </w:p>
    <w:p>
      <w:pPr>
        <w:pStyle w:val="Heading3"/>
      </w:pPr>
      <w:r>
        <w:t xml:space="preserve">Users Table</w:t>
      </w:r>
    </w:p>
    <w:p>
      <w:pPr>
        <w:spacing w:after="100"/>
      </w:pPr>
      <w:r>
        <w:rPr>
          <w:sz w:val="24"/>
          <w:szCs w:val="24"/>
        </w:rPr>
        <w:t xml:space="preserve">The users table serves as the central entity, storing authentication credentials, profile information, fitness parameters, and subscription status. Critical fields include physical measurements (height, current weight, target weight), fitness profile data (goal, level, available equipment), and subscription tier information. The design supports progressive profile completion through the onboarding flow while maintaining data integrity through proper constraints.</w:t>
      </w:r>
    </w:p>
    <w:p>
      <w:pPr>
        <w:pStyle w:val="Heading3"/>
      </w:pPr>
      <w:r>
        <w:t xml:space="preserve">Exercises Table</w:t>
      </w:r>
    </w:p>
    <w:p>
      <w:pPr>
        <w:spacing w:after="100"/>
      </w:pPr>
      <w:r>
        <w:rPr>
          <w:sz w:val="24"/>
          <w:szCs w:val="24"/>
        </w:rPr>
        <w:t xml:space="preserve">The exercises table contains the complete library of available exercises, each categorized by difficulty level, primary fitness goal, required equipment, and targeted muscle groups. Importantly, the AI does not generate new exercises but rather selects from this curated database, ensuring safety and quality control. Each exercise record includes detailed instructions, safety warnings, and media references (GIF URLs) for proper form demonstration.</w:t>
      </w:r>
    </w:p>
    <w:p>
      <w:pPr>
        <w:pStyle w:val="Heading3"/>
      </w:pPr>
      <w:r>
        <w:t xml:space="preserve">Workout Plans &amp; Sessions</w:t>
      </w:r>
    </w:p>
    <w:p>
      <w:pPr>
        <w:spacing w:after="100"/>
      </w:pPr>
      <w:r>
        <w:rPr>
          <w:sz w:val="24"/>
          <w:szCs w:val="24"/>
        </w:rPr>
        <w:t xml:space="preserve">Workout plans represent AI-generated programs containing multiple workout sessions distributed across a training week. Each session links to specific exercises through the workout_exercises junction table, which stores configuration data including sets, repetitions, rest periods, and order. Session tracking captures actual performance data including completed sets, perceived difficulty, and energy levels, enabling the adaptive AI system to refine future recommendations.</w:t>
      </w:r>
    </w:p>
    <w:p>
      <w:pPr>
        <w:pStyle w:val="Heading1"/>
      </w:pPr>
      <w:r>
        <w:t xml:space="preserve">4. API Architecture</w:t>
      </w:r>
    </w:p>
    <w:p>
      <w:pPr>
        <w:spacing w:after="200"/>
      </w:pPr>
      <w:r>
        <w:rPr>
          <w:sz w:val="24"/>
          <w:szCs w:val="24"/>
        </w:rPr>
        <w:t xml:space="preserve">The RESTful API architecture follows resource-oriented design principles with consistent conventions for authentication, error handling, and response formatting. All endpoints implement proper HTTP semantics, versioning support, and comprehensive documentation through OpenAPI specifications. Rate limiting protects against abuse while ensuring fair resource distribution across the user base.</w:t>
      </w:r>
    </w:p>
    <w:p>
      <w:pPr>
        <w:pStyle w:val="Heading2"/>
      </w:pPr>
      <w:r>
        <w:t xml:space="preserve">4.1 Authentication Endpoints</w:t>
      </w:r>
    </w:p>
    <w:p>
      <w:pPr>
        <w:pStyle w:val="ListParagraph"/>
        <w:numPr>
          <w:ilvl w:val="0"/>
          <w:numId w:val="2"/>
        </w:numPr>
      </w:pPr>
      <w:r>
        <w:rPr>
          <w:sz w:val="24"/>
          <w:szCs w:val="24"/>
        </w:rPr>
        <w:t xml:space="preserve">POST /api/auth/register — Creates new user account with email verification</w:t>
      </w:r>
    </w:p>
    <w:p>
      <w:pPr>
        <w:pStyle w:val="ListParagraph"/>
        <w:numPr>
          <w:ilvl w:val="0"/>
          <w:numId w:val="2"/>
        </w:numPr>
      </w:pPr>
      <w:r>
        <w:rPr>
          <w:sz w:val="24"/>
          <w:szCs w:val="24"/>
        </w:rPr>
        <w:t xml:space="preserve">POST /api/auth/login — Authenticates user, returns access and refresh tokens</w:t>
      </w:r>
    </w:p>
    <w:p>
      <w:pPr>
        <w:pStyle w:val="ListParagraph"/>
        <w:numPr>
          <w:ilvl w:val="0"/>
          <w:numId w:val="2"/>
        </w:numPr>
      </w:pPr>
      <w:r>
        <w:rPr>
          <w:sz w:val="24"/>
          <w:szCs w:val="24"/>
        </w:rPr>
        <w:t xml:space="preserve">POST /api/auth/refresh — Renews access token using valid refresh token</w:t>
      </w:r>
    </w:p>
    <w:p>
      <w:pPr>
        <w:pStyle w:val="ListParagraph"/>
        <w:numPr>
          <w:ilvl w:val="0"/>
          <w:numId w:val="2"/>
        </w:numPr>
      </w:pPr>
      <w:r>
        <w:rPr>
          <w:sz w:val="24"/>
          <w:szCs w:val="24"/>
        </w:rPr>
        <w:t xml:space="preserve">POST /api/auth/logout — Invalidates refresh token, terminates session</w:t>
      </w:r>
    </w:p>
    <w:p>
      <w:pPr>
        <w:pStyle w:val="Heading2"/>
      </w:pPr>
      <w:r>
        <w:t xml:space="preserve">4.2 Workout Endpoints</w:t>
      </w:r>
    </w:p>
    <w:p>
      <w:pPr>
        <w:pStyle w:val="ListParagraph"/>
        <w:numPr>
          <w:ilvl w:val="0"/>
          <w:numId w:val="3"/>
        </w:numPr>
      </w:pPr>
      <w:r>
        <w:rPr>
          <w:sz w:val="24"/>
          <w:szCs w:val="24"/>
        </w:rPr>
        <w:t xml:space="preserve">GET /api/exercises — Retrieves filtered exercise library (level, goal, equipment)</w:t>
      </w:r>
    </w:p>
    <w:p>
      <w:pPr>
        <w:pStyle w:val="ListParagraph"/>
        <w:numPr>
          <w:ilvl w:val="0"/>
          <w:numId w:val="3"/>
        </w:numPr>
      </w:pPr>
      <w:r>
        <w:rPr>
          <w:sz w:val="24"/>
          <w:szCs w:val="24"/>
        </w:rPr>
        <w:t xml:space="preserve">POST /api/workouts/generate — Triggers AI plan generation based on user profile</w:t>
      </w:r>
    </w:p>
    <w:p>
      <w:pPr>
        <w:pStyle w:val="ListParagraph"/>
        <w:numPr>
          <w:ilvl w:val="0"/>
          <w:numId w:val="3"/>
        </w:numPr>
      </w:pPr>
      <w:r>
        <w:rPr>
          <w:sz w:val="24"/>
          <w:szCs w:val="24"/>
        </w:rPr>
        <w:t xml:space="preserve">GET /api/workouts/my-plans — Retrieves user active and historical plans</w:t>
      </w:r>
    </w:p>
    <w:p>
      <w:pPr>
        <w:pStyle w:val="ListParagraph"/>
        <w:numPr>
          <w:ilvl w:val="0"/>
          <w:numId w:val="3"/>
        </w:numPr>
      </w:pPr>
      <w:r>
        <w:rPr>
          <w:sz w:val="24"/>
          <w:szCs w:val="24"/>
        </w:rPr>
        <w:t xml:space="preserve">POST /api/workouts/sessions — Logs completed workout session data</w:t>
      </w:r>
    </w:p>
    <w:p>
      <w:pPr>
        <w:pStyle w:val="Heading1"/>
      </w:pPr>
      <w:r>
        <w:t xml:space="preserve">5. AI Integration Strategy</w:t>
      </w:r>
    </w:p>
    <w:p>
      <w:pPr>
        <w:spacing w:after="200"/>
      </w:pPr>
      <w:r>
        <w:rPr>
          <w:sz w:val="24"/>
          <w:szCs w:val="24"/>
        </w:rPr>
        <w:t xml:space="preserve">The AI integration layer represents the core differentiation of BodyGenius AI. The system employs a structured approach where the AI selects from curated exercise databases rather than generating potentially unsafe or ineffective movements. This "constrained creativity" approach balances personalization with safety, ensuring all recommended exercises have been verified for proper form and effectiveness.</w:t>
      </w:r>
    </w:p>
    <w:p>
      <w:pPr>
        <w:pStyle w:val="Heading2"/>
      </w:pPr>
      <w:r>
        <w:t xml:space="preserve">5.1 Workout Generation Pipeline</w:t>
      </w:r>
    </w:p>
    <w:p>
      <w:pPr>
        <w:spacing w:after="100"/>
      </w:pPr>
      <w:r>
        <w:rPr>
          <w:sz w:val="24"/>
          <w:szCs w:val="24"/>
        </w:rPr>
        <w:t xml:space="preserve">The workout generation pipeline operates through three distinct phases. First, the database query layer filters available exercises based on user constraints: fitness level, available equipment, and primary goal. This filtered subset is then passed to the AI along with structured prompting that defines the output schema precisely. The AI returns a JSON structure specifying exercise selection, set/rep schemes, and weekly distribution. Finally, a validation layer confirms the response matches the expected schema and references only valid exercise IDs before persisting to the database.</w:t>
      </w:r>
    </w:p>
    <w:p>
      <w:pPr>
        <w:pStyle w:val="Heading2"/>
      </w:pPr>
      <w:r>
        <w:t xml:space="preserve">5.2 Cost Optimization</w:t>
      </w:r>
    </w:p>
    <w:p>
      <w:pPr>
        <w:spacing w:after="100"/>
      </w:pPr>
      <w:r>
        <w:rPr>
          <w:sz w:val="24"/>
          <w:szCs w:val="24"/>
        </w:rPr>
        <w:t xml:space="preserve">AI API costs represent a significant operational expense. The architecture implements several optimization strategies: aggressive caching of common workout patterns, prompt engineering to minimize token usage, batching of similar requests, and tiered model usage where simpler tasks utilize faster, cheaper models. The subscription tiers directly correlate with AI usage—free users receive static plans while paid tiers unlock adaptive features that require more frequent AI interactions.</w:t>
      </w:r>
    </w:p>
    <w:p>
      <w:pPr>
        <w:pStyle w:val="Heading1"/>
      </w:pPr>
      <w:r>
        <w:t xml:space="preserve">6. Security Implementation</w:t>
      </w:r>
    </w:p>
    <w:p>
      <w:pPr>
        <w:spacing w:after="200"/>
      </w:pPr>
      <w:r>
        <w:rPr>
          <w:sz w:val="24"/>
          <w:szCs w:val="24"/>
        </w:rPr>
        <w:t xml:space="preserve">Security considerations span multiple layers of the application stack, from authentication to AI interaction safety. The architecture implements industry-standard practices while adding fitness-specific safeguards around health data and AI-generated content. All user data is encrypted at rest and in transit, with sensitive health metrics receiving additional protection layers.</w:t>
      </w:r>
    </w:p>
    <w:p>
      <w:pPr>
        <w:pStyle w:val="Heading2"/>
      </w:pPr>
      <w:r>
        <w:t xml:space="preserve">6.1 Core Security Measures</w:t>
      </w:r>
    </w:p>
    <w:p>
      <w:pPr>
        <w:pStyle w:val="ListParagraph"/>
        <w:numPr>
          <w:ilvl w:val="0"/>
          <w:numId w:val="4"/>
        </w:numPr>
      </w:pPr>
      <w:r>
        <w:rPr>
          <w:sz w:val="24"/>
          <w:szCs w:val="24"/>
        </w:rPr>
        <w:t xml:space="preserve">Rate limiting prevents API abuse and protects AI budget consumption</w:t>
      </w:r>
    </w:p>
    <w:p>
      <w:pPr>
        <w:pStyle w:val="ListParagraph"/>
        <w:numPr>
          <w:ilvl w:val="0"/>
          <w:numId w:val="4"/>
        </w:numPr>
      </w:pPr>
      <w:r>
        <w:rPr>
          <w:sz w:val="24"/>
          <w:szCs w:val="24"/>
        </w:rPr>
        <w:t xml:space="preserve">Input validation sanitizes all user data before database persistence</w:t>
      </w:r>
    </w:p>
    <w:p>
      <w:pPr>
        <w:pStyle w:val="ListParagraph"/>
        <w:numPr>
          <w:ilvl w:val="0"/>
          <w:numId w:val="4"/>
        </w:numPr>
      </w:pPr>
      <w:r>
        <w:rPr>
          <w:sz w:val="24"/>
          <w:szCs w:val="24"/>
        </w:rPr>
        <w:t xml:space="preserve">Prompt injection protection guards AI interactions from manipulation</w:t>
      </w:r>
    </w:p>
    <w:p>
      <w:pPr>
        <w:pStyle w:val="ListParagraph"/>
        <w:numPr>
          <w:ilvl w:val="0"/>
          <w:numId w:val="4"/>
        </w:numPr>
      </w:pPr>
      <w:r>
        <w:rPr>
          <w:sz w:val="24"/>
          <w:szCs w:val="24"/>
        </w:rPr>
        <w:t xml:space="preserve">Content filtering prevents generation of harmful or inappropriate content</w:t>
      </w:r>
    </w:p>
    <w:p>
      <w:pPr>
        <w:pStyle w:val="ListParagraph"/>
        <w:numPr>
          <w:ilvl w:val="0"/>
          <w:numId w:val="4"/>
        </w:numPr>
      </w:pPr>
      <w:r>
        <w:rPr>
          <w:sz w:val="24"/>
          <w:szCs w:val="24"/>
        </w:rPr>
        <w:t xml:space="preserve">Medical disclaimers accompany all fitness and nutrition recommendations</w:t>
      </w:r>
    </w:p>
    <w:p>
      <w:pPr>
        <w:pStyle w:val="Heading1"/>
      </w:pPr>
      <w:r>
        <w:t xml:space="preserve">7. Scaling Strategy</w:t>
      </w:r>
    </w:p>
    <w:p>
      <w:pPr>
        <w:spacing w:after="200"/>
      </w:pPr>
      <w:r>
        <w:rPr>
          <w:sz w:val="24"/>
          <w:szCs w:val="24"/>
        </w:rPr>
        <w:t xml:space="preserve">The architecture supports progressive scaling from single-server MVP to distributed microservices infrastructure. The initial deployment utilizes a monolithic structure on a single VPS, with clear module boundaries that facilitate future decomposition. As user growth demands, individual components can be extracted into separate services without requiring complete system redesign.</w:t>
      </w:r>
    </w:p>
    <w:p>
      <w:pPr>
        <w:pStyle w:val="Heading2"/>
      </w:pPr>
      <w:r>
        <w:t xml:space="preserve">7.1 Scaling Milestones</w:t>
      </w:r>
    </w:p>
    <w:p>
      <w:pPr>
        <w:pStyle w:val="ListParagraph"/>
        <w:numPr>
          <w:ilvl w:val="0"/>
          <w:numId w:val="5"/>
        </w:numPr>
      </w:pPr>
      <w:r>
        <w:rPr>
          <w:sz w:val="24"/>
          <w:szCs w:val="24"/>
        </w:rPr>
        <w:t xml:space="preserve">100 users: Single VPS with optimized queries and basic caching</w:t>
      </w:r>
    </w:p>
    <w:p>
      <w:pPr>
        <w:pStyle w:val="ListParagraph"/>
        <w:numPr>
          <w:ilvl w:val="0"/>
          <w:numId w:val="5"/>
        </w:numPr>
      </w:pPr>
      <w:r>
        <w:rPr>
          <w:sz w:val="24"/>
          <w:szCs w:val="24"/>
        </w:rPr>
        <w:t xml:space="preserve">1,000 users: Add Redis caching, separate database server</w:t>
      </w:r>
    </w:p>
    <w:p>
      <w:pPr>
        <w:pStyle w:val="ListParagraph"/>
        <w:numPr>
          <w:ilvl w:val="0"/>
          <w:numId w:val="5"/>
        </w:numPr>
      </w:pPr>
      <w:r>
        <w:rPr>
          <w:sz w:val="24"/>
          <w:szCs w:val="24"/>
        </w:rPr>
        <w:t xml:space="preserve">10,000 users: Horizontal API scaling, read replicas</w:t>
      </w:r>
    </w:p>
    <w:p>
      <w:pPr>
        <w:pStyle w:val="ListParagraph"/>
        <w:numPr>
          <w:ilvl w:val="0"/>
          <w:numId w:val="5"/>
        </w:numPr>
      </w:pPr>
      <w:r>
        <w:rPr>
          <w:sz w:val="24"/>
          <w:szCs w:val="24"/>
        </w:rPr>
        <w:t xml:space="preserve">100,000+ users: Microservices decomposition, CDN, global distribution</w:t>
      </w:r>
    </w:p>
    <w:p>
      <w:pPr>
        <w:pStyle w:val="Heading1"/>
      </w:pPr>
      <w:r>
        <w:t xml:space="preserve">8. Conclusion</w:t>
      </w:r>
    </w:p>
    <w:p>
      <w:pPr>
        <w:spacing w:after="100"/>
      </w:pPr>
      <w:r>
        <w:rPr>
          <w:sz w:val="24"/>
          <w:szCs w:val="24"/>
        </w:rPr>
        <w:t xml:space="preserve">The BodyGenius AI architecture represents a pragmatic approach to building a scalable AI-powered fitness platform. By prioritizing validated exercise selection over AI-generated movements, implementing robust security measures, and designing for progressive scaling, the system balances innovation with reliability. The phased development approach minimizes initial investment while preserving the flexibility to expand functionality as the user base grows and market feedback informs product direction.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 </w:t>
    </w:r>
    <w:r>
      <w:rPr>
        <w:color w:val="64748B"/>
      </w:rPr>
      <w:fldChar w:fldCharType="begin"/>
      <w:instrText xml:space="preserve">PAGE</w:instrText>
      <w:fldChar w:fldCharType="separate"/>
      <w:fldChar w:fldCharType="end"/>
    </w:r>
    <w:r>
      <w:rPr>
        <w:color w:val="64748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BodyGenius AI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2026-02-26T12:33:47.979Z</dcterms:created>
  <dcterms:modified xsi:type="dcterms:W3CDTF">2026-02-26T12:33:47.979Z</dcterms:modified>
</cp:coreProperties>
</file>

<file path=docProps/custom.xml><?xml version="1.0" encoding="utf-8"?>
<Properties xmlns="http://schemas.openxmlformats.org/officeDocument/2006/custom-properties" xmlns:vt="http://schemas.openxmlformats.org/officeDocument/2006/docPropsVTypes"/>
</file>