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 pick two of the following three questions and answer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each of the two questions you’ve picked with a short answer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of one or two paragraphs.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1. (a) give an example of a productive activity, an activity that’s done for the sake of some product that is good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independently of the fact that the producer produces it. give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an example of an action that is not a production and that is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done for its own sake.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(b) use your example of a productive activity to illustrate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aristotle’s picture of deliberation by spelling out the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deliberation through which, according to aristotle, a person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might decide to perform that activity.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2. in ii.4 aristotle is considering an objection to his claim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that a person becomes excellent through performing the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actions that an excellent person performs: for example, that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you become just through performing just actions. what’s the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objection? what’s aristotle’s reply to it?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3. aristotle claims that every excellence of character is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intermediate between two badnesses of character, one badness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that’s excessive and another that’s deficient in some quality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of which the excellent is the right amoung. answer one or the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other of the following. either: (a) give your own example of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an excellence that’s intermediate in this respect; be sure to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describe the correspondingly excessive or deficient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characters. or: (b) give an example of an excellence thanks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to which a person counts as a good person that in your view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is not intermediate between some corresponding excess and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deficiency.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B pick one of the following three questions and answer it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with a slightly longer essay of five, six, or seven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paragraphs.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4. the starting points of aristotle’s reflections about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ethics are the activities that his audience is already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engaged in, the ends for which they’re already acting, and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the judgments they already hold about which ends are worth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pursuing and how. he seems to be trying for an account of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