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SUPERNOVA DISTANCE SCORE</w:t>
      </w:r>
    </w:p>
    <w:p>
      <w:pPr>
        <w:spacing w:after="40" w:before="0"/>
      </w:pPr>
      <w:r>
        <w:rPr>
          <w:rFonts w:ascii="Arial" w:cs="Arial" w:eastAsia="Arial" w:hAnsi="Arial"/>
          <w:color w:val="888780"/>
          <w:sz w:val="26"/>
          <w:szCs w:val="26"/>
        </w:rPr>
        <w:t xml:space="preserve">Guida agli indici di valutazione degli investimenti biotech</w:t>
      </w:r>
    </w:p>
    <w:p>
      <w:pPr>
        <w:spacing w:after="400" w:before="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Supernova — Investment Intelligence Platform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Introduzione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Supernova Distance Score (SDS) è un punteggio continuo da 0 a 100 che misura quanto un titolo biotech si avvicina alle condizioni che storicamente precedono surge straordinari (+100% a +1800%) intorno agli eventi clinici.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SDS non predice il surge — misura la distanza da esso. Soglia operativa: SDS &gt; 70 = zona supernova. Anche SDS 55–70 cattura la maggior parte del potenziale pre-surge con rischio inferiore.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Casi di riferimento storici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ACRS +212% · MDGL +268% (2023) · MDGL +600% (2018) · BTAI · CTMX +1000%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Soglie operative SDS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SDS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e azione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–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SUPERNOVA — Posizione piena (3–5% portafoglio)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– 74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CANDIDATO — Posizione piccola, monitoraggio giornaliero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– 54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— Monitorare, nessuna entrata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29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LONTANO — Nessuna azione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Veto assoluti (azzerano SDS indipendentemente dal punteggio)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Cash runway &lt; 3 mesi · Regime mercato CRISIS · Evento binario entro 7 giorni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Cluster A — Catalyst Quality  </w:t>
            </w: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(peso 30%)</w:t>
            </w:r>
          </w:p>
          <w:p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Vale la pena scommettere su questo trial?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Phase Credibility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14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Misura quanto è avanzato e solido il trial clinico.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 base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pivotal (NDA-enabling)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non-pivotal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/ Phase 2a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1b/2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Bonus aggiuntivi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Trial placebo-controlled → +1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Dual primary endpoint → +2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Biopsy endpoint (es. NASH) → +2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ClinicalTrials.gov — campo phase + study_design. Supernova già scarica questi dati ma non li sta ancora convertendo in score. Fix: aggiungere funzione di scoring in supernovaScore.py.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0.0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Il parser non sta ancora leggendo il campo phase e convertendolo in punteggio.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Endpoint Credibility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10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Misura quanto è credibile e oggettivo il primary endpoint agli occhi degli investitori e degli analisti.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endpoint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Survival (OS)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Biopsy / istologico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Progression-Free Survival (PFS)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Event-Free Survival (EFS)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composito oggettivo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ORR (Overall Response Rate)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Biomarker / farmacologico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(Patient Reported Outcome)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ClinicalTrials.gov — campo primary_outcome. Già scaricato da Supernova, manca il parsing del testo per classificare il tipo di endpoint.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0.0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Il campo c'è ma non viene letto e convertito in punteggio numerico.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Unmet Need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13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Misura quanto il mercato ha bisogno di questo farmaco — quante alternative approvate esistono già.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 base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 farmaco approvato nell'indicazione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farmaci approvati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Indicazione affollata (3+)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Bonus aggiuntivi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Meccanismo d'azione mai usato (first-in-class) → +3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Esempio: NASH nel 2018 non aveva nessun farmaco approvato → score massimo. MDGL era l'unico gioco in città — la reazione del mercato fu esplosiva.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openFDA API (gratuita) — cerca farmaci approvati per indicazione. Claude API per classificare first-in-class dal campo intervention_description di ClinicalTrials.gov.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1.0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L'indicazione è letta come affollata oppure il dato è parziale. Migliorare il parsing openFDA e aggiungere first-in-class detection via Claude API.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Market Size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10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Misura il potenziale commerciale dell'indicazione — quanto può valere il farmaco se approvato.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sales potential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$8 miliardi peak sales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$5–8 miliardi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$3–5 miliardi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$1–3 miliardi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$1 miliardo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Esempi indicazioni per fascia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$10B+: Alzheimer, obesità, diabete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$7–9B: cancro al polmone, cancro al seno, NASH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$4–6B: artrite reumatoide, mieloma multiplo, melanoma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$2–4B: leucemia, schizofrenia, Crohn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$1–2B: alopecia areata, policitemia vera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Lookup table manuale per indicazione + analyst reports SEC filings. Aggiungere le indicazioni del proprio universo progressivamente.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Perché oggi è 6.0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Supernova ha stimato un mercato tra $3–5 miliardi per questo ticker. Score corretto — verificare che l'indicazione corrisponda.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Cluster B — Institutional Signal  </w:t>
            </w: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(peso 25%)</w:t>
            </w:r>
          </w:p>
          <w:p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I professionisti stanno già scommettendo su questo?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Short Interest + Days to Cover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da -5 a +10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Misura quante azioni sono vendute allo scoperto e il potenziale di short squeeze. Se il trial va bene e gli short devono ricomprare in fretta, il surge si amplifica enormemente.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&gt;20% + momentum positivo + DTC &gt;5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(squeeze setup)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&gt;20% + momentum positivo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&gt;15%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&gt;10%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&gt;5%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&gt;20% + momentum negativo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 (bearish strutturale)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Days to Cover (DTC) = giorni necessari per ricomprare tutto lo short. DTC &gt; 5 = squeeze potenzialmente esplosivo.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FMP API endpoint /v4/short-float (già integrato in Supernova). Aggiungere chiamata in sdsDataCollector.py.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missing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chiamata API non è ancora implementata nel codice.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Analyst Upgrades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8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Misura l'attività degli analisti specializzati in biotech nelle ultime 4–8 settimane. Un'initiation da Goldman Sachs o Leerink porta capitali istituzionali significativi.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analista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Initiation Tier 1 (ultimi 14 giorni)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 × 1.5x recency = +9 cap 8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Tier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Initiation boutique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boutique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Reiterated Tier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downgrades in 60 giorni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 penalità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Tier 1 analysts (biotech-specializzati)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Goldman Sachs, Morgan Stanley, Jefferies, Evercore ISI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Leerink Partners, SVB Securities, Cowen, RBC Capital Markets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HC Wainwright, Cantor Fitzgerald, Needham, Piper Sandler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FMP API endpoint /v3/grade/{ticker} (già integrato in Supernova). Filtrare ultimi 60 giorni.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0.0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chiamata API è attiva ma il ticker potrebbe non avere coverage recente — verificare il log.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Institutional Δ 13F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da -2 a +8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Confronta la ownership istituzionale tra gli ultimi due trimestri SEC. I fondi healthcare specializzati entrano mesi prima del catalyst — anche il dato vecchio di un trimestre ha valore predittivo.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 base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fund presente + delta &gt;5%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 (segnale top)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fund presente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istituzionale &gt;15%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&gt;8%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&gt;3%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0–3%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Uscita istituzionale significativa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 (warning)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Premium funds healthcare (peso 2x)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 Capital, OrbiMed Advisors, Baker Bros Advisors, Perceptive Advisors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Vivo Capital, Commodore Capital, Foresite Capital, Deerfield Management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Boxer Capital, RTW Investments, Eventide Asset Management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Nota: i dati 13F hanno sempre 45–90 giorni di ritardo (obbligo SEC). Questo è normale — i fondi entrano comunque mesi prima del catalyst.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FMP API endpoint /v3/institutional-holder/{ticker}. Refresh settimanale — i dati non cambiano tra un filing e l'altro.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'planned'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Funzione da implementare in sdsDataCollector.py — chiamata API e logica di scoring non ancora scritte.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Cluster C — Price Structure  </w:t>
            </w: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(peso 20%)</w:t>
            </w:r>
          </w:p>
          <w:p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Il grafico sta preparando un movimento?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Bollinger Squeeze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10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Misura la compressione del prezzo in un range stretto. Quando le Bollinger Band si avvicinano al minimo storico degli ultimi 6 mesi, è come una molla che si schiaccia — prima o poi scatta.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 width &lt; 10° percentile (6 mesi)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— compressione estrema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 width &lt; 20° percentile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 width &lt; 35° percentile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compressione moderata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 width &lt; 50° percentile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 width &gt; 50° percentile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bande ampie, nessuna compressione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 surge maggiori (MDGL, ACRS) mostrano BB squeeze nelle 2–4 settimane precedenti.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Prezzi Yahoo Finance già in Supernova — calcolo da aggiungere in supernovaScore.py. Zero nuove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missing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funzione bollinger_squeeze_score() non è ancora implementata.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OBV Accumulation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8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On-Balance Volume misura se i grandi investitori stanno comprando in silenzio. Se il volume nei giorni di salita è sistematicamente maggiore del volume nei giorni di discesa, qualcuno sta accumulando.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 in salita + prezzo piatto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— accumulo silenzioso classico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 in salita + divergenza rialzista (prezzo giù)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 in salita + prezzo in salita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uptrend confermato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 in salita + prezzo debole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 in discesa + prezzo piatto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distribuzione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 e prezzo entrambi giù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downtrend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Pattern chiave: OBV rising + price flat = accumulo istituzionale invisibile. È il segnale più affidabile prima dei surge grandi.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Prezzi + volumi Yahoo già in Supernova. OBV calcolabile in 10 righe di Python. Zero nuove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missing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funzione obv_accumulation_score() non è ancora implementata.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Relative Strength vs XBI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da -2 a +5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Confronta il rendimento del titolo vs l'ETF settoriale biotech (XBI) negli ultimi 90 giorni. Se il titolo sale mentre XBI è piatto o scende, c'è interesse specifico su questo ticker — non è la marea che porta tutto su.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Rendimento relativo (90d + 20d)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combinata &gt; +20% vs XBI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— forte outperformance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+10%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+3%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-3% a +3%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— in linea col settore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a -3%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-10%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 — underperformance significativa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XBI già scaricato in marketContextGate.py — riusare quel dato. Zero nuove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missing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funzione xbi_relative_strength_score() non è ancora implementata.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Volume Ratio (5d)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da -1 a +5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Confronta il volume degli ultimi 5 giorni con la media a 20 giorni. Un breakout su volume doppio è reale. Un breakout su volume normale è spesso rumore.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ratio 5d/20d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5d &gt; 2.5x media 20d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— surge di volume estremo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1.8x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1.3x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— attività elevata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1.0x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— leggermente sopra media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0.7x – 1.0x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normale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— volume in esaurimento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Volumi Yahoo già in Supernova. Zero nuove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missing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funzione volume_ratio_score() non è ancora implementata.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Cluster D — Company Fundamentals  </w:t>
            </w: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(peso 15%)</w:t>
            </w:r>
          </w:p>
          <w:p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L'azienda è abbastanza solida da arrivare al catalyst?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Cash Runway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da -8 a +8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Quanti mesi di vita ha l'azienda con la cassa attuale? Sotto 6 mesi rischia di fare un'offerta azionaria diluitiva prima del catalyst. Sopra 18 mesi sei al sicuro.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 base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positivo / runway illimitato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24 mesi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18–24 mesi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12–18 mesi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9–12 mesi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6–9 mesi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— zona caution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mesi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 — diluzione imminente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mesi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 + VETO ASSOLUTO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SEC 10-Q già in Supernova (cash + equivalents, operating expenses quarterly). Se mancante: FMP /v3/balance-sheet-statement.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missing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funzione cash_runway_score() non legge i dati 10-Q già presenti in ticker_data.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MC / Pipeline Ratio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8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mercato sta prezzando il valore della pipeline o la sta ignorando? Se il market cap è molto inferiore al valore stimato della pipeline (probabilità × mercato potenziale), c'è un gap enorme da colmare.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market cap / NPV pipeline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MC/pipeline &lt; 0.2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 — fortemente sottovalutato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— circa equamente valutato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sopravvalutato vs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Pipeline NPV = peak_sales × probabilità approvazione (Singh et al.) × 5x multiplo revenue. Esempio MDGL pre-surge: MC $200M vs pipeline NPV stimata $800M → ratio 0.25 → score massimo.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Market cap da Yahoo + phase_probability già dal modello Singh + MARKET_SIZE_ESTIMATES lookup 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0.0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funzione mc_pipeline_ratio_score() non è ancora connessa ai dati esistenti.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M&amp;A Attractiveness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7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Quanto è probabile che questa azienda venga acquisita prima o dopo il catalyst? La speculazione M&amp;A può amplificare enormemente il movimento (MDGL +1800% guidato anche da rumors acquisizione).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 aggiuntivi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First-in-class + mercato &gt;$3B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+ momentum positivo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cap &lt; $2B (acquistabile)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 pharma attiva nell'area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Grande pharma attiva per area terapeutica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NASH: AstraZeneca, Novo Nordisk, Gilead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Oncologia: Pfizer, BMS, Roche, AstraZeneca, Merck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Artrite reumatoide: AbbVie, Pfizer, Eli Lilly, UCB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Neurologia: Biogen, Roche, Novartis, Sanofi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Malattie rare: Sanofi, Alexion, BioMarin, Ultragenyx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Immunologia: AbbVie, Janssen, UCB, Sanofi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Rule-based scoring da dati già disponibili (first_in_class, phase, market_cap, condition). Nessuna nuova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Perché oggi è 'planned'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 funzione ma_attractiveness_score() non è ancora implementata.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Cluster E — Timing Proximity  </w:t>
            </w: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(peso 10%)</w:t>
            </w:r>
          </w:p>
          <w:p>
            <w:r>
              <w:rPr>
                <w:rFonts w:ascii="Arial" w:cs="Arial" w:eastAsia="Arial" w:hAnsi="Arial"/>
                <w:color w:val="DDEEFF"/>
                <w:sz w:val="18"/>
                <w:szCs w:val="18"/>
              </w:rPr>
              <w:t xml:space="preserve">Siamo nel momento giusto per entrare?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Catalyst Window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6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Quanti giorni mancano al CD? La finestra storica ottimale è T-45 a T-14. Abbastanza vicino da catturare il movimento pre-catalyst, abbastanza lontano dalla zona binaria.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Giorni al CD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T-14 a T-30 (finestra ottimale)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entry ideale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T-30 a T-45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buona finestra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T-45 a T-60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accumulo precoce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T-7 a T-14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entrata tardiva, rischio elevato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T-60 a T-90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troppo presto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T-7 (binary event lock)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+ flag BINARY LOCK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già passato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Sotto T-7: zona binaria — il titolo si muove esclusivamente sul dato clinico. Nessuna nuova entrata. Flag BINARY_EVENT_LOCK attivo.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CD calendar già al centro di Supernova. Calcolo days_to_cd già presente.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Stato attuale: 6.0/6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Ticker nel range T-14 a T-30 — finestra ottimale. Corretto.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Sequential Catalysts 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— 0 a 4 punti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Quanti tipi diversi di catalyst positivi esistono nei prossimi 90 giorni? Ogni catalyst aggiuntivo è un'altra occasione per il mercato di rivalutare il titolo verso l'alto.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Catalyst types in finestra 90d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tipi di catalyst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stack multiplo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tipi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tipi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attuale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tipo (solo CD)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Tipi di catalyst riconosciuti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Clinical readout: completion date, topline results, primary endpoint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Regulatory: PDUFA, FDA decision, NDA/BLA submission, breakthrough therapy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Conference: ASCO, ESMO, ASH, AACR, presentazioni orali o poster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Financial: offering, private placement, partnership, licensing, milestone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Publication: NEJM, Lancet, JAMA, Nature — peer-reviewed publication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Analyst event: analyst day, investor day, KOL event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Esempio CTMX: clinical data + follow-on offering + analyst upgrade tutti nella finestra 90 giorni → surge amplificato a +1000% in 12 mesi.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EIS events + CD calendar + 8-K SEC + AI feed già in Supernova.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Stato attuale: 2.0/4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Due tipi di catalyst rilevati. Nota: correggere il max display da 6 a 4 nella UI.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Formula SDS completa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punteggio finale combina i cinque cluster con i rispettivi pesi: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A — Catalyst Quality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 (max 45 raw → normalizzato)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B — Institutional Signal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 (max 26 raw → normalizzato)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C — Price Structure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 (max 28 raw → normalizzato)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D — Company Fundamentals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 (max 23 raw → normalizzato)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E — Timing Proximity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 (max 10 raw → normalizzato)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SDS = (A/45×30) + (B/26×25) + (C/28×20) + (D/23×15) + (E/10×10)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Regola di confidenza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 mancano dati per più del 40% degli indici, il SDS viene flaggato come 'bassa confidenza' e non genera raccomandazioni operative. La copertura minima raccomandata è 60% degli indici.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Logica di decisione investimento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SDS si combina con il modello di prediction esistente di Supernova per generare la raccomandazione finale: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1 — Market regime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CRISIS o RISK_OFF → HOLD indipendentemente da SDS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2 — SDS minimo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SDS &lt; 55 → WATCH, nessuna entrata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3 — Timing window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days_to_CD &gt; 60 o &lt; 7 → aspetta finestra ottimale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4 — Prediction align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pred5 &lt; 3% o confidence &lt; 75% → HOLD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Tutti i gate superati →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con sizing basato su SDS zone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sizing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SDS &gt;= 75 — Zona supernova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Posizione piena: 3–5% portafoglio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SDS 55–74 — Candidato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Posizione piccola: 1–2% portafoglio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Regole di uscita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Exit primario: T-3 a T-1 prima del CD — evitare l'esito binario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Stop loss: -15% dal prezzo di entrata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SDS exit: uscita se SDS scende sotto 40 (condizioni deteriorate)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Regime exit: uscita immediata se market regime diventa CRISIS</w:t>
      </w:r>
    </w:p>
    <w:p>
      <w:pPr>
        <w:spacing w:after="80" w:before="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color w:val="888780"/>
          <w:sz w:val="16"/>
          <w:szCs w:val="16"/>
        </w:rPr>
        <w:t xml:space="preserve">Nota: Il SDS è uno strumento di supporto decisionale, non una raccomandazione finanziaria. Tutti gli investimenti comportano rischi. I rendimenti storici non garantiscono rendimenti futuri.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2026-06-06T15:52:07.220Z</dcterms:created>
  <dcterms:modified xsi:type="dcterms:W3CDTF">2026-06-06T15:52:07.235Z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