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AB3E0">
      <w:pPr>
        <w:pStyle w:val="4"/>
        <w:ind w:left="-131" w:leftChars="-134" w:right="-197" w:rightChars="-94" w:hanging="150" w:hangingChars="47"/>
        <w:jc w:val="both"/>
        <w:rPr>
          <w:rFonts w:ascii="楷体" w:hAnsi="楷体" w:eastAsia="楷体"/>
          <w:sz w:val="32"/>
          <w:szCs w:val="32"/>
        </w:rPr>
      </w:pPr>
      <w:r>
        <w:rPr>
          <w:rFonts w:hint="eastAsia" w:ascii="楷体" w:hAnsi="楷体" w:eastAsia="楷体"/>
          <w:sz w:val="32"/>
          <w:szCs w:val="32"/>
        </w:rPr>
        <w:t>附件二</w:t>
      </w:r>
    </w:p>
    <w:p w14:paraId="5F73475A">
      <w:pPr>
        <w:ind w:firstLine="600"/>
        <w:jc w:val="left"/>
        <w:rPr>
          <w:rFonts w:ascii="仿宋" w:hAnsi="仿宋" w:eastAsia="仿宋"/>
          <w:sz w:val="30"/>
          <w:szCs w:val="30"/>
        </w:rPr>
      </w:pPr>
      <w:r>
        <w:rPr>
          <w:rFonts w:hint="eastAsia" w:ascii="仿宋" w:hAnsi="仿宋" w:eastAsia="仿宋"/>
          <w:sz w:val="30"/>
          <w:szCs w:val="30"/>
        </w:rPr>
        <w:t>申报材料清单：</w:t>
      </w:r>
    </w:p>
    <w:p w14:paraId="648543A0">
      <w:pPr>
        <w:ind w:firstLine="600"/>
        <w:jc w:val="left"/>
        <w:rPr>
          <w:rFonts w:ascii="仿宋" w:hAnsi="仿宋" w:eastAsia="仿宋"/>
          <w:sz w:val="30"/>
          <w:szCs w:val="30"/>
        </w:rPr>
      </w:pPr>
      <w:r>
        <w:rPr>
          <w:rFonts w:ascii="仿宋" w:hAnsi="仿宋" w:eastAsia="仿宋"/>
          <w:sz w:val="30"/>
          <w:szCs w:val="30"/>
        </w:rPr>
        <w:t xml:space="preserve">1. </w:t>
      </w:r>
      <w:r>
        <w:rPr>
          <w:rFonts w:hint="eastAsia" w:ascii="仿宋" w:hAnsi="仿宋" w:eastAsia="仿宋"/>
          <w:sz w:val="30"/>
          <w:szCs w:val="30"/>
        </w:rPr>
        <w:t>作品简介；</w:t>
      </w:r>
    </w:p>
    <w:p w14:paraId="67803B99">
      <w:pPr>
        <w:ind w:firstLine="600"/>
        <w:jc w:val="left"/>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 xml:space="preserve">. </w:t>
      </w:r>
      <w:r>
        <w:rPr>
          <w:rFonts w:hint="eastAsia" w:ascii="仿宋" w:hAnsi="仿宋" w:eastAsia="仿宋"/>
          <w:sz w:val="30"/>
          <w:szCs w:val="30"/>
        </w:rPr>
        <w:t>已发表论文扫描件或待发表论文原文；</w:t>
      </w:r>
    </w:p>
    <w:p w14:paraId="3D7B3AB1">
      <w:pPr>
        <w:ind w:firstLine="600"/>
        <w:jc w:val="left"/>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 xml:space="preserve">. </w:t>
      </w:r>
      <w:r>
        <w:rPr>
          <w:rFonts w:hint="eastAsia" w:ascii="仿宋" w:hAnsi="仿宋" w:eastAsia="仿宋"/>
          <w:sz w:val="30"/>
          <w:szCs w:val="30"/>
        </w:rPr>
        <w:t>已申请专利或待申请专利书；</w:t>
      </w:r>
    </w:p>
    <w:p w14:paraId="3B877789">
      <w:pPr>
        <w:ind w:firstLine="600"/>
        <w:jc w:val="left"/>
        <w:rPr>
          <w:rFonts w:ascii="仿宋" w:hAnsi="仿宋" w:eastAsia="仿宋"/>
          <w:sz w:val="30"/>
          <w:szCs w:val="30"/>
        </w:rPr>
      </w:pPr>
      <w:r>
        <w:rPr>
          <w:rFonts w:ascii="仿宋" w:hAnsi="仿宋" w:eastAsia="仿宋"/>
          <w:sz w:val="30"/>
          <w:szCs w:val="30"/>
        </w:rPr>
        <w:t xml:space="preserve">4. </w:t>
      </w:r>
      <w:r>
        <w:rPr>
          <w:rFonts w:hint="eastAsia" w:ascii="仿宋" w:hAnsi="仿宋" w:eastAsia="仿宋"/>
          <w:sz w:val="30"/>
          <w:szCs w:val="30"/>
        </w:rPr>
        <w:t>已获奖情况及证书扫描件；</w:t>
      </w:r>
    </w:p>
    <w:p w14:paraId="731B8744">
      <w:pPr>
        <w:ind w:firstLine="600"/>
        <w:jc w:val="left"/>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 xml:space="preserve">. </w:t>
      </w:r>
      <w:r>
        <w:rPr>
          <w:rFonts w:hint="eastAsia" w:ascii="仿宋" w:hAnsi="仿宋" w:eastAsia="仿宋"/>
          <w:sz w:val="30"/>
          <w:szCs w:val="30"/>
        </w:rPr>
        <w:t>其他相关证明材料，如实验结果。</w:t>
      </w:r>
    </w:p>
    <w:p w14:paraId="022124E8"/>
    <w:p w14:paraId="69C625F6">
      <w:pPr>
        <w:rPr>
          <w:rFonts w:hint="eastAsia" w:eastAsiaTheme="minorEastAsia"/>
          <w:lang w:eastAsia="zh-CN"/>
        </w:rPr>
      </w:pPr>
    </w:p>
    <w:p w14:paraId="2102750E">
      <w:pPr>
        <w:spacing w:before="156" w:beforeLines="50" w:line="360" w:lineRule="auto"/>
        <w:jc w:val="both"/>
        <w:rPr>
          <w:rFonts w:ascii="Times New Roman" w:hAnsi="Times New Roman" w:eastAsia="楷体" w:cs="Times New Roman"/>
          <w:b/>
          <w:bCs/>
          <w:sz w:val="28"/>
          <w:szCs w:val="28"/>
          <w:lang w:eastAsia="zh-CN"/>
        </w:rPr>
      </w:pPr>
      <w:r>
        <w:rPr>
          <w:rFonts w:ascii="Times New Roman" w:hAnsi="Times New Roman" w:eastAsia="楷体" w:cs="Times New Roman"/>
          <w:b/>
          <w:bCs/>
          <w:sz w:val="28"/>
          <w:szCs w:val="28"/>
          <w:lang w:eastAsia="zh-CN" w:bidi="ar"/>
        </w:rPr>
        <w:t>研究背景及意义</w:t>
      </w:r>
    </w:p>
    <w:p w14:paraId="76514BE9">
      <w:pPr>
        <w:spacing w:line="300" w:lineRule="auto"/>
        <w:ind w:firstLine="560" w:firstLineChars="200"/>
        <w:jc w:val="both"/>
        <w:rPr>
          <w:rFonts w:ascii="Times New Roman" w:hAnsi="Times New Roman" w:eastAsia="楷体" w:cs="Times New Roman"/>
          <w:sz w:val="28"/>
          <w:szCs w:val="28"/>
          <w:lang w:eastAsia="zh-CN"/>
        </w:rPr>
      </w:pPr>
      <w:r>
        <w:rPr>
          <w:rFonts w:ascii="Times New Roman" w:hAnsi="Times New Roman" w:eastAsia="楷体" w:cs="Times New Roman"/>
          <w:sz w:val="28"/>
          <w:szCs w:val="28"/>
          <w:lang w:eastAsia="zh-CN" w:bidi="ar"/>
        </w:rPr>
        <w:t>前列腺癌是全球男性中第二常见的癌症类型，也是导致癌症相关死亡的主要原因之一。根据2020年数据，全球新发前列腺癌病例约为141万例，死亡病例约为38万例。其发病率在不同地区差异显著，高收入国家（如澳大利亚、北美、西欧等）发病率较高，而亚洲、北非等地区则相对较低。在中国，2020年新发前列腺癌病例约为12万例，死亡病例约为5万例，位居男性癌症新发病例的第六位。此外，尽管在一些高收入国家，前列腺癌的发病率和死亡率趋于稳定或下降，但是在东欧和部分亚洲国家（包括中国），发病率仍在上升。前列腺癌的严重程度受地理区域、检测方法以及肿瘤生物学特性等因素影响，因此，制定符合当地实际的筛查与早诊早治策略至关重要。在《中国前列腺癌筛查与早诊早治指南（2022年）》中，强调了提高筛查效果和规范性。尤其是在低资源地区，低成本且高效的诊断方法尤为关键。</w:t>
      </w:r>
    </w:p>
    <w:p w14:paraId="63C60421">
      <w:pPr>
        <w:spacing w:line="300" w:lineRule="auto"/>
        <w:ind w:firstLine="560" w:firstLineChars="200"/>
        <w:jc w:val="both"/>
        <w:rPr>
          <w:rFonts w:ascii="Times New Roman" w:hAnsi="Times New Roman" w:eastAsia="楷体" w:cs="Times New Roman"/>
          <w:sz w:val="28"/>
          <w:szCs w:val="28"/>
          <w:lang w:eastAsia="zh-CN" w:bidi="ar"/>
        </w:rPr>
      </w:pPr>
      <w:r>
        <w:rPr>
          <w:rFonts w:ascii="Times New Roman" w:hAnsi="Times New Roman" w:eastAsia="楷体" w:cs="Times New Roman"/>
          <w:sz w:val="28"/>
          <w:szCs w:val="28"/>
          <w:lang w:eastAsia="zh-CN" w:bidi="ar"/>
        </w:rPr>
        <w:t>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w:t>
      </w:r>
      <w:r>
        <w:rPr>
          <w:rFonts w:ascii="Times New Roman" w:hAnsi="Times New Roman" w:eastAsia="楷体" w:cs="Times New Roman"/>
          <w:b/>
          <w:bCs/>
          <w:sz w:val="28"/>
          <w:szCs w:val="28"/>
          <w:lang w:eastAsia="zh-CN" w:bidi="ar"/>
        </w:rPr>
        <w:t>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03386067">
      <w:pPr>
        <w:spacing w:line="300" w:lineRule="auto"/>
        <w:ind w:firstLine="560" w:firstLineChars="200"/>
        <w:jc w:val="both"/>
        <w:rPr>
          <w:rFonts w:ascii="Times New Roman" w:hAnsi="Times New Roman" w:eastAsia="楷体" w:cs="Times New Roman"/>
          <w:sz w:val="28"/>
          <w:szCs w:val="28"/>
          <w:lang w:eastAsia="zh-CN" w:bidi="ar"/>
        </w:rPr>
      </w:pPr>
      <w:r>
        <w:rPr>
          <w:rFonts w:ascii="Times New Roman" w:hAnsi="Times New Roman" w:eastAsia="楷体" w:cs="Times New Roman"/>
          <w:sz w:val="28"/>
          <w:szCs w:val="28"/>
          <w:lang w:eastAsia="zh-CN" w:bidi="ar"/>
        </w:rPr>
        <w:t>随着人工智能和大模型技术的迅速发展，以及人工智能在医学影像中的广泛应用，</w:t>
      </w:r>
      <w:r>
        <w:rPr>
          <w:rFonts w:ascii="Times New Roman" w:hAnsi="Times New Roman" w:eastAsia="楷体" w:cs="Times New Roman"/>
          <w:b/>
          <w:bCs/>
          <w:sz w:val="28"/>
          <w:szCs w:val="28"/>
          <w:lang w:eastAsia="zh-CN" w:bidi="ar"/>
        </w:rPr>
        <w:t>基于大模型赋能的人机协同前列腺癌诊疗系统能够显著提升超声视频的视觉质量和诊断结果的准确性，具有重要的学术研究意义和临床应用价值。</w:t>
      </w:r>
      <w:r>
        <w:rPr>
          <w:rFonts w:ascii="Times New Roman" w:hAnsi="Times New Roman" w:eastAsia="楷体" w:cs="Times New Roman"/>
          <w:sz w:val="28"/>
          <w:szCs w:val="28"/>
          <w:lang w:eastAsia="zh-CN" w:bidi="ar"/>
        </w:rPr>
        <w:t>具体表现在以下两个方面：</w:t>
      </w:r>
    </w:p>
    <w:p w14:paraId="76B02432">
      <w:pPr>
        <w:spacing w:line="300" w:lineRule="auto"/>
        <w:ind w:firstLine="560" w:firstLineChars="200"/>
        <w:jc w:val="both"/>
        <w:rPr>
          <w:rFonts w:ascii="Times New Roman" w:hAnsi="Times New Roman" w:eastAsia="楷体" w:cs="Times New Roman"/>
          <w:sz w:val="28"/>
          <w:szCs w:val="28"/>
          <w:lang w:eastAsia="zh-CN" w:bidi="ar"/>
        </w:rPr>
      </w:pPr>
      <w:r>
        <w:rPr>
          <w:rFonts w:ascii="Times New Roman" w:hAnsi="Times New Roman" w:eastAsia="楷体" w:cs="Times New Roman"/>
          <w:sz w:val="28"/>
          <w:szCs w:val="28"/>
          <w:lang w:eastAsia="zh-CN" w:bidi="ar"/>
        </w:rPr>
        <w:t>（1）</w:t>
      </w:r>
      <w:r>
        <w:rPr>
          <w:rFonts w:ascii="Times New Roman" w:hAnsi="Times New Roman" w:eastAsia="楷体" w:cs="Times New Roman"/>
          <w:b/>
          <w:bCs/>
          <w:sz w:val="28"/>
          <w:szCs w:val="28"/>
          <w:lang w:eastAsia="zh-CN" w:bidi="ar"/>
        </w:rPr>
        <w:t>研究基于大模型赋能的前列腺癌诊疗系统具有重要的现实意义。</w:t>
      </w:r>
      <w:r>
        <w:rPr>
          <w:rFonts w:ascii="Times New Roman" w:hAnsi="Times New Roman" w:eastAsia="楷体" w:cs="Times New Roman"/>
          <w:sz w:val="28"/>
          <w:szCs w:val="28"/>
          <w:lang w:eastAsia="zh-CN" w:bidi="ar"/>
        </w:rPr>
        <w:t>通过引入医疗大模型的先验知识，可以显著优化模型的认知能力，有效减小因超声视频质量参差不齐和标注数据稀缺所导致的误差。此外，该系统充分利用超声视频的动态信息，能够实现更全面、精准的分析，从而大幅提升前列腺癌诊断的精度和效率。</w:t>
      </w:r>
    </w:p>
    <w:p w14:paraId="5F81B1EA">
      <w:pPr>
        <w:spacing w:line="300" w:lineRule="auto"/>
        <w:ind w:firstLine="560" w:firstLineChars="200"/>
        <w:jc w:val="both"/>
        <w:rPr>
          <w:rFonts w:ascii="Times New Roman" w:hAnsi="Times New Roman" w:eastAsia="楷体" w:cs="Times New Roman"/>
          <w:sz w:val="28"/>
          <w:szCs w:val="28"/>
          <w:lang w:eastAsia="zh-CN" w:bidi="ar"/>
        </w:rPr>
      </w:pPr>
      <w:r>
        <w:rPr>
          <w:rFonts w:ascii="Times New Roman" w:hAnsi="Times New Roman" w:eastAsia="楷体" w:cs="Times New Roman"/>
          <w:sz w:val="28"/>
          <w:szCs w:val="28"/>
          <w:lang w:eastAsia="zh-CN" w:bidi="ar"/>
        </w:rPr>
        <w:t>（2）</w:t>
      </w:r>
      <w:r>
        <w:rPr>
          <w:rFonts w:ascii="Times New Roman" w:hAnsi="Times New Roman" w:eastAsia="楷体" w:cs="Times New Roman"/>
          <w:b/>
          <w:bCs/>
          <w:sz w:val="28"/>
          <w:szCs w:val="28"/>
          <w:lang w:eastAsia="zh-CN" w:bidi="ar"/>
        </w:rPr>
        <w:t>研究面向人机协同的前列腺癌诊疗系统具有重要的应用价值。</w:t>
      </w:r>
      <w:r>
        <w:rPr>
          <w:rFonts w:ascii="Times New Roman" w:hAnsi="Times New Roman" w:eastAsia="楷体" w:cs="Times New Roman"/>
          <w:sz w:val="28"/>
          <w:szCs w:val="28"/>
          <w:lang w:eastAsia="zh-CN" w:bidi="ar"/>
        </w:rPr>
        <w:t>该系统旨在融合深度学习模型的强大计算能力与医生的丰富临床经验，通过实时反馈和交互，优化诊断决策过程。深度学习模型能够快速捕捉图像中可能被忽略的细节，尤其是小病灶和边界模糊等复杂区域，为医生提供更精准的辅助支持。此外，模型可以基于海量临床数据进行自我学习和持续优化，从而逐步提高诊断准确性，减少人为主观因素对诊断结果的影响。</w:t>
      </w:r>
    </w:p>
    <w:p w14:paraId="7EA0B316">
      <w:pPr>
        <w:spacing w:line="300" w:lineRule="auto"/>
        <w:ind w:firstLine="562" w:firstLineChars="200"/>
        <w:jc w:val="both"/>
        <w:rPr>
          <w:rFonts w:hint="eastAsia" w:ascii="Times New Roman" w:hAnsi="Times New Roman" w:eastAsia="楷体" w:cs="Times New Roman"/>
          <w:b/>
          <w:bCs/>
          <w:sz w:val="28"/>
          <w:szCs w:val="28"/>
          <w:lang w:val="en-US" w:eastAsia="zh-CN" w:bidi="ar"/>
        </w:rPr>
      </w:pPr>
      <w:r>
        <w:rPr>
          <w:rFonts w:hint="eastAsia" w:ascii="Times New Roman" w:hAnsi="Times New Roman" w:eastAsia="楷体" w:cs="Times New Roman"/>
          <w:b/>
          <w:bCs/>
          <w:sz w:val="28"/>
          <w:szCs w:val="28"/>
          <w:lang w:val="en-US" w:eastAsia="zh-CN" w:bidi="ar"/>
        </w:rPr>
        <w:t>项目简介</w:t>
      </w:r>
    </w:p>
    <w:p w14:paraId="682CE02A">
      <w:pPr>
        <w:spacing w:line="300" w:lineRule="auto"/>
        <w:ind w:firstLine="420" w:firstLineChars="200"/>
        <w:jc w:val="both"/>
        <w:rPr>
          <w:rFonts w:hint="eastAsia" w:ascii="Times New Roman" w:hAnsi="Times New Roman" w:eastAsia="楷体" w:cs="Times New Roman"/>
          <w:b/>
          <w:bCs/>
          <w:sz w:val="28"/>
          <w:szCs w:val="28"/>
          <w:lang w:val="en-US" w:eastAsia="zh-CN" w:bidi="ar"/>
        </w:rPr>
      </w:pPr>
      <w:r>
        <w:rPr>
          <w:rFonts w:hint="eastAsia" w:eastAsiaTheme="minorEastAsia"/>
          <w:lang w:eastAsia="zh-CN"/>
        </w:rPr>
        <w:drawing>
          <wp:inline distT="0" distB="0" distL="114300" distR="114300">
            <wp:extent cx="5270500" cy="3549015"/>
            <wp:effectExtent l="0" t="0" r="0" b="6985"/>
            <wp:docPr id="1" name="图片 1" descr="173441367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34413672930"/>
                    <pic:cNvPicPr>
                      <a:picLocks noChangeAspect="1"/>
                    </pic:cNvPicPr>
                  </pic:nvPicPr>
                  <pic:blipFill>
                    <a:blip r:embed="rId4"/>
                    <a:stretch>
                      <a:fillRect/>
                    </a:stretch>
                  </pic:blipFill>
                  <pic:spPr>
                    <a:xfrm>
                      <a:off x="0" y="0"/>
                      <a:ext cx="5270500" cy="3549015"/>
                    </a:xfrm>
                    <a:prstGeom prst="rect">
                      <a:avLst/>
                    </a:prstGeom>
                  </pic:spPr>
                </pic:pic>
              </a:graphicData>
            </a:graphic>
          </wp:inline>
        </w:drawing>
      </w:r>
      <w:bookmarkStart w:id="0" w:name="_GoBack"/>
      <w:bookmarkEnd w:id="0"/>
    </w:p>
    <w:p w14:paraId="640514F9">
      <w:pPr>
        <w:spacing w:line="300" w:lineRule="auto"/>
        <w:ind w:firstLine="560" w:firstLineChars="200"/>
        <w:jc w:val="both"/>
        <w:rPr>
          <w:rFonts w:ascii="Times New Roman" w:hAnsi="Times New Roman" w:eastAsia="楷体" w:cs="Times New Roman"/>
          <w:sz w:val="28"/>
          <w:szCs w:val="30"/>
          <w:lang w:eastAsia="zh-CN"/>
        </w:rPr>
      </w:pPr>
      <w:r>
        <w:rPr>
          <w:rFonts w:ascii="Times New Roman" w:hAnsi="Times New Roman" w:eastAsia="楷体" w:cs="Times New Roman"/>
          <w:sz w:val="28"/>
          <w:szCs w:val="30"/>
          <w:lang w:eastAsia="zh-CN"/>
        </w:rPr>
        <w:t>针对这一问题，本项目提出了一种改进的检测方法</w:t>
      </w:r>
      <w:r>
        <w:rPr>
          <w:rFonts w:hint="eastAsia" w:ascii="Times New Roman" w:hAnsi="Times New Roman" w:eastAsia="楷体" w:cs="Times New Roman"/>
          <w:sz w:val="28"/>
          <w:szCs w:val="30"/>
          <w:lang w:eastAsia="zh-CN"/>
        </w:rPr>
        <w:t>（参见图）</w:t>
      </w:r>
      <w:r>
        <w:rPr>
          <w:rFonts w:ascii="Times New Roman" w:hAnsi="Times New Roman" w:eastAsia="楷体" w:cs="Times New Roman"/>
          <w:sz w:val="28"/>
          <w:szCs w:val="30"/>
          <w:lang w:eastAsia="zh-CN"/>
        </w:rPr>
        <w:t xml:space="preserve">，结合医学分割大模型 MedSAM 2 的先验知识，对超声视频进行分割，优化病灶区域的检测与标注。具体而言，首先对于包含病灶信息的超声视频，将其划分为 K 个等长片段 Ci (i </w:t>
      </w:r>
      <w:r>
        <w:rPr>
          <w:rFonts w:hint="eastAsia" w:ascii="宋体" w:hAnsi="宋体" w:eastAsia="宋体" w:cs="宋体"/>
          <w:sz w:val="28"/>
          <w:szCs w:val="30"/>
          <w:lang w:eastAsia="zh-CN"/>
        </w:rPr>
        <w:t>∈</w:t>
      </w:r>
      <w:r>
        <w:rPr>
          <w:rFonts w:ascii="Times New Roman" w:hAnsi="Times New Roman" w:eastAsia="楷体" w:cs="Times New Roman"/>
          <w:sz w:val="28"/>
          <w:szCs w:val="30"/>
          <w:lang w:eastAsia="zh-CN"/>
        </w:rPr>
        <w:t xml:space="preserve"> [1,K])，然后将这些片段逐一输入 MedSAM 2 网络，获取每个片段的最优病灶区域分割结果。基于每个片段中的病灶区域，模型将其作为伪标签，并与其他相关区域进行相似度计算，从而修正视频级别的粗粒度标签，生成更加细粒度的片段级标签。这一过程显著提高了标签的准确性，减少了超声视频中可能存在的无病灶片段对最终分期判断的干扰，避免了噪声对肿瘤诊断结果的负面影响。</w:t>
      </w:r>
    </w:p>
    <w:p w14:paraId="320281C7">
      <w:pPr>
        <w:spacing w:line="300" w:lineRule="auto"/>
        <w:ind w:firstLine="560" w:firstLineChars="200"/>
        <w:jc w:val="both"/>
        <w:rPr>
          <w:rFonts w:ascii="Times New Roman" w:hAnsi="Times New Roman" w:eastAsia="楷体" w:cs="Times New Roman"/>
          <w:sz w:val="28"/>
          <w:szCs w:val="30"/>
          <w:lang w:eastAsia="zh-CN"/>
        </w:rPr>
      </w:pPr>
      <w:r>
        <w:rPr>
          <w:rFonts w:ascii="Times New Roman" w:hAnsi="Times New Roman" w:eastAsia="楷体" w:cs="Times New Roman"/>
          <w:sz w:val="28"/>
          <w:szCs w:val="30"/>
          <w:lang w:eastAsia="zh-CN"/>
        </w:rPr>
        <w:t>在得到修正后的片段级标签后，这些标签被输入到图像-文本预训练模型中，进行多模态学习。通过结合超声视频中的图像特征和医学文本描述之间的相似度，模型能够更好地理解图像内容与医学信息之间的潜在关联。该方法有效提升了肿瘤诊断精度，特别是在肿瘤分期预测任务中的表现，显著提高了模型对前列腺肿瘤的分期检测能力。最终，本方法为肿瘤诊断提供了更加细致和准确的分期结果，具有较高的临床应用价值，能够在超声视频的肿瘤检测和分期中发挥重要作用。</w:t>
      </w:r>
    </w:p>
    <w:p w14:paraId="253989A9">
      <w:pPr>
        <w:spacing w:line="300" w:lineRule="auto"/>
        <w:ind w:firstLine="560" w:firstLineChars="200"/>
        <w:jc w:val="both"/>
        <w:rPr>
          <w:rFonts w:ascii="Times New Roman" w:hAnsi="Times New Roman" w:eastAsia="楷体" w:cs="Times New Roman"/>
          <w:sz w:val="28"/>
          <w:szCs w:val="30"/>
          <w:lang w:eastAsia="zh-CN"/>
        </w:rPr>
      </w:pPr>
      <w:r>
        <w:rPr>
          <w:rFonts w:ascii="Times New Roman" w:hAnsi="Times New Roman" w:eastAsia="楷体" w:cs="Times New Roman"/>
          <w:sz w:val="28"/>
          <w:szCs w:val="30"/>
          <w:lang w:eastAsia="zh-CN"/>
        </w:rPr>
        <w:t>通过这一改进方法，本项目不仅提升了超声视频肿瘤检测的准确性，还为医生提供了更可靠的辅助决策支持，从而在临床应用中有望更好地指导前列腺肿瘤的早期检测与精准分期。</w:t>
      </w:r>
    </w:p>
    <w:p w14:paraId="51D4A5F3">
      <w:pPr>
        <w:rPr>
          <w:rFonts w:hint="eastAsia" w:eastAsiaTheme="minorEastAsia"/>
          <w:lang w:eastAsia="zh-CN"/>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0F"/>
    <w:rsid w:val="00263B0F"/>
    <w:rsid w:val="00461CBA"/>
    <w:rsid w:val="21EB1C57"/>
    <w:rsid w:val="258C3110"/>
    <w:rsid w:val="30560D49"/>
    <w:rsid w:val="3287138D"/>
    <w:rsid w:val="417E5BAB"/>
    <w:rsid w:val="58E22684"/>
    <w:rsid w:val="5DD9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customStyle="1" w:styleId="4">
    <w:name w:val="大标题"/>
    <w:basedOn w:val="1"/>
    <w:link w:val="5"/>
    <w:qFormat/>
    <w:uiPriority w:val="0"/>
    <w:pPr>
      <w:jc w:val="center"/>
    </w:pPr>
    <w:rPr>
      <w:rFonts w:ascii="黑体" w:hAnsi="黑体" w:eastAsia="黑体" w:cs="Times New Roman"/>
      <w:bCs/>
      <w:sz w:val="30"/>
      <w:szCs w:val="36"/>
    </w:rPr>
  </w:style>
  <w:style w:type="character" w:customStyle="1" w:styleId="5">
    <w:name w:val="大标题 Char"/>
    <w:link w:val="4"/>
    <w:qFormat/>
    <w:uiPriority w:val="0"/>
    <w:rPr>
      <w:rFonts w:ascii="黑体" w:hAnsi="黑体" w:eastAsia="黑体" w:cs="Times New Roman"/>
      <w:bCs/>
      <w:sz w:val="30"/>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77</Words>
  <Characters>82</Characters>
  <Lines>1</Lines>
  <Paragraphs>1</Paragraphs>
  <TotalTime>0</TotalTime>
  <ScaleCrop>false</ScaleCrop>
  <LinksUpToDate>false</LinksUpToDate>
  <CharactersWithSpaces>87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2022-10-13T13:15:00Z</dcterms:created>
  <dc:creator>wang lu</dc:creator>
  <cp:lastModifiedBy>几</cp:lastModifiedBy>
  <dcterms:modified xsi:type="dcterms:W3CDTF">2024-12-17T05:38:51Z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0EC68E53A18E4267B8329D2A13177811_12</vt:lpwstr>
  </property>
</Properties>
</file>