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7"/>
        <w:spacing w:before="120"/>
        <w:ind w:firstLine="422"/>
        <w:jc w:val="center"/>
        <w:rPr>
          <w:b/>
          <w:sz w:val="21"/>
          <w:szCs w:val="21"/>
        </w:rPr>
      </w:pPr>
      <w:r>
        <w:rPr>
          <w:rFonts w:hint="eastAsia" w:ascii="宋体"/>
          <w:b/>
          <w:sz w:val="21"/>
          <w:szCs w:val="21"/>
        </w:rPr>
        <w:t>技术交底书</w:t>
      </w:r>
    </w:p>
    <w:p w14:paraId="747B4D4F">
      <w:pPr>
        <w:pStyle w:val="17"/>
        <w:spacing w:before="120" w:line="360" w:lineRule="exact"/>
        <w:ind w:firstLine="422"/>
        <w:jc w:val="center"/>
        <w:rPr>
          <w:b/>
          <w:sz w:val="21"/>
          <w:szCs w:val="21"/>
        </w:rPr>
      </w:pPr>
    </w:p>
    <w:p w14:paraId="132B9C76">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 xml:space="preserve">多专家机制的前列腺癌症T0/T1期分类  </w:t>
      </w:r>
      <w:r>
        <w:rPr>
          <w:rFonts w:ascii="宋体"/>
          <w:b/>
          <w:sz w:val="21"/>
          <w:szCs w:val="21"/>
          <w:u w:val="single"/>
        </w:rPr>
        <w:t xml:space="preserve"> </w:t>
      </w:r>
    </w:p>
    <w:p w14:paraId="0B1E0EDF">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7"/>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7"/>
        <w:spacing w:before="120" w:line="360" w:lineRule="exact"/>
        <w:ind w:firstLine="0" w:firstLineChars="0"/>
        <w:rPr>
          <w:b/>
          <w:sz w:val="21"/>
          <w:szCs w:val="21"/>
        </w:rPr>
      </w:pPr>
    </w:p>
    <w:p w14:paraId="4D53B0D1">
      <w:pPr>
        <w:pStyle w:val="17"/>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7"/>
        <w:spacing w:before="120" w:line="360" w:lineRule="exact"/>
        <w:ind w:firstLine="0" w:firstLineChars="0"/>
        <w:rPr>
          <w:b/>
          <w:sz w:val="21"/>
          <w:szCs w:val="21"/>
        </w:rPr>
      </w:pPr>
    </w:p>
    <w:p w14:paraId="083CE74B">
      <w:pPr>
        <w:pStyle w:val="17"/>
        <w:spacing w:before="120" w:line="360" w:lineRule="exact"/>
        <w:ind w:firstLine="0" w:firstLineChars="0"/>
        <w:rPr>
          <w:b/>
          <w:sz w:val="21"/>
          <w:szCs w:val="21"/>
        </w:rPr>
      </w:pPr>
    </w:p>
    <w:p w14:paraId="2381E803">
      <w:pPr>
        <w:pStyle w:val="17"/>
        <w:spacing w:before="120" w:line="360" w:lineRule="auto"/>
        <w:ind w:firstLine="0" w:firstLineChars="0"/>
        <w:rPr>
          <w:b/>
          <w:sz w:val="21"/>
          <w:szCs w:val="21"/>
        </w:rPr>
      </w:pPr>
      <w:r>
        <w:rPr>
          <w:rFonts w:hint="eastAsia" w:ascii="宋体"/>
          <w:b/>
          <w:sz w:val="21"/>
          <w:szCs w:val="21"/>
        </w:rPr>
        <w:t>术语解释：</w:t>
      </w:r>
    </w:p>
    <w:p w14:paraId="49AE84AB">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7"/>
        <w:tabs>
          <w:tab w:val="left" w:pos="435"/>
        </w:tabs>
        <w:spacing w:before="120" w:line="360" w:lineRule="exact"/>
        <w:ind w:firstLine="0" w:firstLineChars="0"/>
        <w:rPr>
          <w:rFonts w:hint="eastAsia"/>
          <w:b/>
          <w:sz w:val="21"/>
          <w:szCs w:val="21"/>
        </w:rPr>
      </w:pP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12CEE2EF">
      <w:pPr>
        <w:tabs>
          <w:tab w:val="left" w:pos="383"/>
          <w:tab w:val="left" w:pos="2122"/>
          <w:tab w:val="left" w:pos="3491"/>
          <w:tab w:val="left" w:pos="4872"/>
          <w:tab w:val="left" w:pos="5256"/>
          <w:tab w:val="left" w:pos="7200"/>
        </w:tabs>
        <w:spacing w:before="120"/>
        <w:ind w:firstLine="0" w:firstLineChars="0"/>
        <w:rPr>
          <w:rFonts w:hint="eastAsia" w:ascii="Helvetica" w:hAnsi="Helvetica" w:cs="Helvetica"/>
          <w:szCs w:val="21"/>
        </w:rPr>
      </w:pPr>
    </w:p>
    <w:p w14:paraId="7953DEDA">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6EF6C1B">
      <w:pPr>
        <w:pStyle w:val="17"/>
        <w:spacing w:before="120" w:line="360" w:lineRule="exact"/>
        <w:ind w:firstLine="0" w:firstLineChars="0"/>
        <w:rPr>
          <w:rFonts w:hint="eastAsia"/>
          <w:color w:val="0000FF"/>
          <w:sz w:val="21"/>
          <w:szCs w:val="21"/>
        </w:rPr>
      </w:pPr>
    </w:p>
    <w:p w14:paraId="753738B2">
      <w:pPr>
        <w:pStyle w:val="17"/>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DF4B482">
      <w:pPr>
        <w:spacing w:before="120"/>
        <w:ind w:firstLine="0" w:firstLineChars="0"/>
      </w:pPr>
    </w:p>
    <w:p w14:paraId="1B827EF5">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2E5FC044">
      <w:pPr>
        <w:spacing w:before="120"/>
        <w:ind w:firstLine="0" w:firstLineChars="0"/>
        <w:rPr>
          <w:rFonts w:hint="eastAsia"/>
          <w:szCs w:val="21"/>
        </w:rPr>
      </w:pPr>
    </w:p>
    <w:p w14:paraId="79C5303E">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0" w:firstLineChars="0"/>
        <w:rPr>
          <w:rFonts w:hint="eastAsia"/>
        </w:rPr>
      </w:pPr>
    </w:p>
    <w:p w14:paraId="0EC21201">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pStyle w:val="17"/>
        <w:spacing w:before="120" w:line="360" w:lineRule="exact"/>
        <w:ind w:firstLine="420"/>
        <w:rPr>
          <w:color w:val="0000FF"/>
          <w:sz w:val="21"/>
          <w:szCs w:val="21"/>
        </w:rPr>
      </w:pPr>
    </w:p>
    <w:p w14:paraId="6AA2DC7E">
      <w:pPr>
        <w:numPr>
          <w:ilvl w:val="0"/>
          <w:numId w:val="2"/>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1BC6A3F4">
      <w:pPr>
        <w:numPr>
          <w:ilvl w:val="0"/>
          <w:numId w:val="0"/>
        </w:numPr>
        <w:spacing w:before="120"/>
        <w:jc w:val="left"/>
        <w:rPr>
          <w:rFonts w:hint="eastAsia" w:ascii="楷体" w:hAnsi="楷体" w:eastAsia="楷体" w:cs="宋体"/>
          <w:b/>
          <w:color w:val="000000"/>
          <w:szCs w:val="21"/>
        </w:rPr>
      </w:pPr>
    </w:p>
    <w:p w14:paraId="29222F81">
      <w:pPr>
        <w:numPr>
          <w:ilvl w:val="0"/>
          <w:numId w:val="0"/>
        </w:numPr>
        <w:spacing w:before="120"/>
        <w:jc w:val="center"/>
        <w:rPr>
          <w:rFonts w:hint="eastAsia"/>
          <w:b/>
          <w:sz w:val="21"/>
          <w:szCs w:val="21"/>
        </w:rPr>
      </w:pPr>
      <w:r>
        <w:rPr>
          <w:rFonts w:hint="eastAsia"/>
          <w:b/>
          <w:sz w:val="21"/>
          <w:szCs w:val="21"/>
        </w:rPr>
        <w:t>说明书</w:t>
      </w:r>
    </w:p>
    <w:p w14:paraId="32113793">
      <w:pPr>
        <w:numPr>
          <w:ilvl w:val="0"/>
          <w:numId w:val="0"/>
        </w:numPr>
        <w:spacing w:before="120"/>
        <w:jc w:val="center"/>
        <w:rPr>
          <w:rFonts w:hint="eastAsia" w:ascii="宋体"/>
          <w:b/>
          <w:szCs w:val="21"/>
          <w:lang w:val="en-US" w:eastAsia="zh-CN"/>
        </w:rPr>
      </w:pPr>
      <w:r>
        <w:rPr>
          <w:rFonts w:hint="eastAsia" w:ascii="宋体"/>
          <w:b/>
          <w:szCs w:val="21"/>
          <w:lang w:val="en-US" w:eastAsia="zh-CN"/>
        </w:rPr>
        <w:t>多专家机制的前列腺癌症T0/T1期分类</w:t>
      </w:r>
    </w:p>
    <w:p w14:paraId="6BF4C6C3">
      <w:pPr>
        <w:spacing w:before="0" w:beforeLines="0"/>
        <w:ind w:firstLine="0" w:firstLineChars="0"/>
        <w:rPr>
          <w:rFonts w:hint="eastAsia"/>
          <w:b/>
          <w:bCs/>
        </w:rPr>
      </w:pPr>
      <w:r>
        <w:rPr>
          <w:rFonts w:hint="eastAsia"/>
          <w:b/>
          <w:bCs/>
        </w:rPr>
        <w:t>技术领域</w:t>
      </w:r>
    </w:p>
    <w:p w14:paraId="0B88B9D0">
      <w:pPr>
        <w:spacing w:before="0" w:beforeLines="0"/>
        <w:ind w:firstLine="420" w:firstLineChars="0"/>
        <w:rPr>
          <w:rFonts w:hint="default" w:eastAsia="宋体"/>
          <w:b/>
          <w:bCs/>
          <w:lang w:val="en-US" w:eastAsia="zh-CN"/>
        </w:rPr>
      </w:pPr>
      <w:r>
        <w:t>本发明涉及</w:t>
      </w:r>
      <w:r>
        <w:rPr>
          <w:rFonts w:hint="eastAsia"/>
          <w:lang w:val="en-US" w:eastAsia="zh-CN"/>
        </w:rPr>
        <w:t>前列腺癌症T0/T1分期的诊断领域</w:t>
      </w:r>
    </w:p>
    <w:p w14:paraId="30133562">
      <w:pPr>
        <w:pStyle w:val="17"/>
        <w:spacing w:before="120" w:line="360" w:lineRule="auto"/>
        <w:ind w:firstLine="0" w:firstLineChars="0"/>
        <w:rPr>
          <w:rFonts w:hint="eastAsia" w:ascii="Times New Roman" w:hAnsi="Times New Roman" w:eastAsia="宋体" w:cs="Times New Roman"/>
          <w:b/>
          <w:bCs/>
          <w:sz w:val="21"/>
          <w:lang w:val="en-US" w:eastAsia="zh-CN" w:bidi="ar-SA"/>
        </w:rPr>
      </w:pPr>
      <w:r>
        <w:rPr>
          <w:rFonts w:hint="eastAsia" w:ascii="Times New Roman" w:hAnsi="Times New Roman" w:eastAsia="宋体" w:cs="Times New Roman"/>
          <w:b/>
          <w:bCs/>
          <w:sz w:val="21"/>
          <w:lang w:val="en-US" w:eastAsia="zh-CN" w:bidi="ar-SA"/>
        </w:rPr>
        <w:t>背景技术</w:t>
      </w:r>
    </w:p>
    <w:p w14:paraId="06261517">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0AE3EB7A">
      <w:pPr>
        <w:spacing w:line="300" w:lineRule="auto"/>
        <w:ind w:firstLine="420" w:firstLineChars="200"/>
        <w:jc w:val="both"/>
        <w:rPr>
          <w:rFonts w:hint="eastAsia"/>
          <w:lang w:val="en-US" w:eastAsia="zh-CN"/>
        </w:rPr>
      </w:pPr>
      <w:r>
        <w:rPr>
          <w:rFonts w:hint="eastAsia"/>
          <w:lang w:val="en-US" w:eastAsia="zh-CN"/>
        </w:rPr>
        <w:t>自监督学习（Self-Supervised Learning, SSL）是一种机器学习方法，它不依赖于人工标注的数据，而是通过数据本身生成监督信号，在医学中就有了相当的优势，它能够利用广泛的无标签数据进行预训练。这种方法利用数据的内在结构和特性，从无标签的数据中学习表示。目前基于遮掩自动编码(Masked Autoencoder, MAE)的自监督预训练方法在视频中也逐渐开始运用，比如VideoMAE工作，基于视频的MAE工作如下流程所示：</w:t>
      </w:r>
    </w:p>
    <w:p w14:paraId="6AB5B9BD">
      <w:pPr>
        <w:spacing w:line="30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27575" cy="1350010"/>
            <wp:effectExtent l="0" t="0" r="9525" b="889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4727575" cy="1350010"/>
                    </a:xfrm>
                    <a:prstGeom prst="round2DiagRect">
                      <a:avLst/>
                    </a:prstGeom>
                    <a:noFill/>
                    <a:ln w="9525">
                      <a:noFill/>
                    </a:ln>
                  </pic:spPr>
                </pic:pic>
              </a:graphicData>
            </a:graphic>
          </wp:inline>
        </w:drawing>
      </w:r>
    </w:p>
    <w:p w14:paraId="1B64E5E9">
      <w:pPr>
        <w:spacing w:line="300" w:lineRule="auto"/>
        <w:ind w:firstLine="420" w:firstLineChars="200"/>
        <w:jc w:val="both"/>
        <w:rPr>
          <w:rFonts w:hint="eastAsia"/>
          <w:lang w:val="en-US" w:eastAsia="zh-CN"/>
        </w:rPr>
      </w:pPr>
      <w:r>
        <w:rPr>
          <w:rFonts w:hint="eastAsia"/>
          <w:lang w:val="en-US" w:eastAsia="zh-CN"/>
        </w:rPr>
        <w:t>将下采样帧作为输入，使用跨行时间采样策略来进行更有效的视频预训练。形式上，首先从原始视频V中随机采样一个由t个连续帧组成的视频剪辑。然后，使用时间采样将剪辑压缩为T帧，每个帧包含</w:t>
      </w:r>
      <m:oMath>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oMath>
      <w:r>
        <w:rPr>
          <w:rFonts w:hint="eastAsia"/>
          <w:lang w:val="en-US" w:eastAsia="zh-CN"/>
        </w:rPr>
        <w:t>像素，并使用立方体嵌入来获得视频令牌。其中我们将每个大小为</w:t>
      </w:r>
      <m:oMath>
        <m:r>
          <m:rPr>
            <m:sty m:val="p"/>
          </m:rPr>
          <w:rPr>
            <w:rFonts w:hint="eastAsia" w:ascii="Cambria Math" w:hAnsi="Cambria Math" w:cs="Times New Roman"/>
            <w:sz w:val="21"/>
            <w:lang w:val="en-US" w:eastAsia="zh-CN" w:bidi="ar-SA"/>
          </w:rPr>
          <m:t xml:space="preserve">2 </m:t>
        </m:r>
        <m:r>
          <m:rPr>
            <m:sty m:val="p"/>
          </m:rPr>
          <w:rPr>
            <w:rFonts w:ascii="Cambria Math" w:hAnsi="Cambria Math" w:cs="Times New Roman"/>
            <w:sz w:val="21"/>
            <w:lang w:val="en-US" w:bidi="ar-SA"/>
          </w:rPr>
          <m:t>×</m:t>
        </m:r>
        <m:r>
          <m:rPr>
            <m:sty m:val="p"/>
          </m:rPr>
          <w:rPr>
            <w:rFonts w:hint="eastAsia" w:ascii="Cambria Math" w:hAnsi="Cambria Math" w:cs="Times New Roman"/>
            <w:sz w:val="21"/>
            <w:lang w:val="en-US" w:eastAsia="zh-CN" w:bidi="ar-SA"/>
          </w:rPr>
          <m:t xml:space="preserve"> 16 × 16</m:t>
        </m:r>
      </m:oMath>
      <w:r>
        <w:rPr>
          <w:rFonts w:hint="eastAsia"/>
          <w:lang w:val="en-US" w:eastAsia="zh-CN"/>
        </w:rPr>
        <w:t>的立方体视为一个令牌嵌入。因此，立方体嵌入层获得</w:t>
      </w:r>
      <m:oMath>
        <m:f>
          <m:fPr>
            <m:ctrlPr>
              <w:rPr>
                <w:rFonts w:ascii="Cambria Math" w:hAnsi="Cambria Math"/>
                <w:i/>
                <w:sz w:val="22"/>
                <w:szCs w:val="21"/>
                <w:lang w:val="en-US"/>
              </w:rPr>
            </m:ctrlPr>
          </m:fPr>
          <m:num>
            <m:r>
              <m:rPr/>
              <w:rPr>
                <w:rFonts w:hint="default" w:ascii="Cambria Math" w:hAnsi="Cambria Math"/>
                <w:sz w:val="22"/>
                <w:szCs w:val="21"/>
                <w:lang w:val="en-US" w:eastAsia="zh-CN"/>
              </w:rPr>
              <m:t>t</m:t>
            </m:r>
            <m:ctrlPr>
              <w:rPr>
                <w:rFonts w:ascii="Cambria Math" w:hAnsi="Cambria Math"/>
                <w:i/>
                <w:sz w:val="22"/>
                <w:szCs w:val="21"/>
                <w:lang w:val="en-US"/>
              </w:rPr>
            </m:ctrlPr>
          </m:num>
          <m:den>
            <m:r>
              <m:rPr/>
              <w:rPr>
                <w:rFonts w:hint="default" w:ascii="Cambria Math" w:hAnsi="Cambria Math"/>
                <w:sz w:val="22"/>
                <w:szCs w:val="21"/>
                <w:lang w:val="en-US" w:eastAsia="zh-CN"/>
              </w:rPr>
              <m:t>2</m:t>
            </m:r>
            <m:ctrlPr>
              <w:rPr>
                <w:rFonts w:ascii="Cambria Math" w:hAnsi="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ℎ</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w</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oMath>
      <w:r>
        <w:rPr>
          <w:rFonts w:hint="eastAsia"/>
          <w:lang w:val="en-US" w:eastAsia="zh-CN"/>
        </w:rPr>
        <w:t>个三维令牌，并将每个令牌映射到通道维度d。这种设计可以降低输入的时空维度，有助于缓解视频中的时空冗余。</w:t>
      </w:r>
    </w:p>
    <w:p w14:paraId="11884E31">
      <w:pPr>
        <w:spacing w:line="300" w:lineRule="auto"/>
        <w:ind w:firstLine="420" w:firstLineChars="200"/>
        <w:jc w:val="both"/>
        <w:rPr>
          <w:rFonts w:hint="eastAsia"/>
          <w:lang w:val="en-US" w:eastAsia="zh-CN"/>
        </w:rPr>
      </w:pPr>
      <w:r>
        <w:rPr>
          <w:rFonts w:hint="eastAsia"/>
          <w:lang w:val="en-US" w:eastAsia="zh-CN"/>
        </w:rPr>
        <w:t>对于获得的三维令牌，VideoMAE随机选择90%的信息进行遮掩。然后把没有遮掩的令牌输入到了视觉编码器中，在VideoMAE工作中使用了视觉转换器(Vision Transformer, ViT)作为主干。最后利用解码器进行重建训练。</w:t>
      </w:r>
    </w:p>
    <w:p w14:paraId="1ADE8F39">
      <w:pPr>
        <w:spacing w:line="300" w:lineRule="auto"/>
        <w:ind w:firstLine="420" w:firstLineChars="200"/>
        <w:jc w:val="both"/>
        <w:rPr>
          <w:rFonts w:hint="eastAsia"/>
          <w:vertAlign w:val="baseline"/>
          <w:lang w:val="en-US" w:eastAsia="zh-CN"/>
        </w:rPr>
      </w:pPr>
      <w:r>
        <w:rPr>
          <w:rFonts w:hint="eastAsia"/>
          <w:vertAlign w:val="baseline"/>
          <w:lang w:val="en-US" w:eastAsia="zh-CN"/>
        </w:rPr>
        <w:t>其中针对前列腺癌症超声影像的数据方面有如下问题：</w:t>
      </w:r>
    </w:p>
    <w:p w14:paraId="605FA329">
      <w:pPr>
        <w:numPr>
          <w:ilvl w:val="0"/>
          <w:numId w:val="3"/>
        </w:numPr>
        <w:spacing w:line="300" w:lineRule="auto"/>
        <w:ind w:firstLine="420" w:firstLineChars="200"/>
        <w:jc w:val="both"/>
        <w:rPr>
          <w:rFonts w:hint="default"/>
          <w:vertAlign w:val="baseline"/>
          <w:lang w:val="en-US" w:eastAsia="zh-CN"/>
        </w:rPr>
      </w:pPr>
      <w:r>
        <w:rPr>
          <w:rFonts w:hint="eastAsia"/>
          <w:vertAlign w:val="baseline"/>
          <w:lang w:val="en-US" w:eastAsia="zh-CN"/>
        </w:rPr>
        <w:t>：前列腺超声影像的数据中存在大量的无关信息，尤其是无病灶的区域。随机遮掩会导致模型学习过程中对局部结构的忽略，这在医学影像中尤其重要，因为局部特征往往决定了疾病的早期发现和准确诊断。MAE在遮掩了过多非关键的局部特征时，模型对真正关键的局部特征重建特征的学习就会相对的差。</w:t>
      </w:r>
    </w:p>
    <w:p w14:paraId="0857BB4E">
      <w:pPr>
        <w:numPr>
          <w:ilvl w:val="0"/>
          <w:numId w:val="3"/>
        </w:numPr>
        <w:spacing w:line="300" w:lineRule="auto"/>
        <w:ind w:firstLine="420" w:firstLineChars="200"/>
        <w:jc w:val="both"/>
        <w:rPr>
          <w:rFonts w:hint="default"/>
          <w:vertAlign w:val="baseline"/>
          <w:lang w:val="en-US" w:eastAsia="zh-CN"/>
        </w:rPr>
      </w:pPr>
      <w:r>
        <w:rPr>
          <w:rFonts w:hint="eastAsia"/>
          <w:vertAlign w:val="baseline"/>
          <w:lang w:val="en-US" w:eastAsia="zh-CN"/>
        </w:rPr>
        <w:t>现有模型未充分考虑多医生采样之间的个体差异、诊断风格和数据质量波动，导致验证结果不稳定，无法满足医工结合应用中对准确性和鲁棒性的高要求。</w:t>
      </w:r>
    </w:p>
    <w:p w14:paraId="57DD4988">
      <w:pPr>
        <w:spacing w:before="0" w:beforeLines="0"/>
        <w:ind w:firstLine="0" w:firstLineChars="0"/>
        <w:rPr>
          <w:rFonts w:hint="eastAsia"/>
          <w:b/>
          <w:bCs/>
        </w:rPr>
      </w:pPr>
      <w:r>
        <w:rPr>
          <w:rFonts w:hint="eastAsia"/>
          <w:b/>
          <w:bCs/>
        </w:rPr>
        <w:t>发明内容</w:t>
      </w:r>
    </w:p>
    <w:p w14:paraId="75E3002C">
      <w:pPr>
        <w:spacing w:line="300" w:lineRule="auto"/>
        <w:ind w:firstLine="420" w:firstLineChars="200"/>
        <w:jc w:val="both"/>
        <w:rPr>
          <w:rFonts w:hint="eastAsia"/>
          <w:lang w:val="en-US" w:eastAsia="zh-CN"/>
        </w:rPr>
      </w:pPr>
      <w:r>
        <w:rPr>
          <w:rFonts w:hint="eastAsia"/>
          <w:lang w:val="en-US" w:eastAsia="zh-CN"/>
        </w:rPr>
        <w:t>为了解决上述问题，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w:t>
      </w:r>
    </w:p>
    <w:p w14:paraId="267CC390">
      <w:pPr>
        <w:spacing w:line="300" w:lineRule="auto"/>
        <w:ind w:firstLine="420" w:firstLineChars="200"/>
        <w:jc w:val="both"/>
        <w:rPr>
          <w:rFonts w:hint="eastAsia"/>
          <w:lang w:val="en-US" w:eastAsia="zh-CN"/>
        </w:rPr>
      </w:pPr>
      <w:r>
        <w:rPr>
          <w:rFonts w:hint="eastAsia"/>
          <w:lang w:val="en-US" w:eastAsia="zh-CN"/>
        </w:rPr>
        <w:t>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我们做了如下设定：我们构建模拟医生会诊的多专家会诊机制，利用三个专家模型降低失误概率。</w:t>
      </w:r>
    </w:p>
    <w:p w14:paraId="6900631D">
      <w:pPr>
        <w:spacing w:line="300" w:lineRule="auto"/>
        <w:ind w:firstLine="482" w:firstLineChars="200"/>
        <w:jc w:val="center"/>
        <w:rPr>
          <w:rFonts w:hint="default"/>
          <w:b/>
          <w:bCs/>
          <w:sz w:val="24"/>
          <w:szCs w:val="24"/>
          <w:lang w:val="en-US" w:eastAsia="zh-CN"/>
        </w:rPr>
      </w:pPr>
      <w:r>
        <w:rPr>
          <w:rFonts w:hint="default"/>
          <w:b/>
          <w:bCs/>
          <w:sz w:val="24"/>
          <w:szCs w:val="24"/>
          <w:lang w:val="en-US" w:eastAsia="zh-CN"/>
        </w:rPr>
        <w:drawing>
          <wp:inline distT="0" distB="0" distL="114300" distR="114300">
            <wp:extent cx="2536825" cy="2387600"/>
            <wp:effectExtent l="0" t="0" r="3175" b="0"/>
            <wp:docPr id="1" name="图片 1"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2189607953"/>
                    <pic:cNvPicPr>
                      <a:picLocks noChangeAspect="1"/>
                    </pic:cNvPicPr>
                  </pic:nvPicPr>
                  <pic:blipFill>
                    <a:blip r:embed="rId19"/>
                    <a:stretch>
                      <a:fillRect/>
                    </a:stretch>
                  </pic:blipFill>
                  <pic:spPr>
                    <a:xfrm>
                      <a:off x="0" y="0"/>
                      <a:ext cx="2536825" cy="2387600"/>
                    </a:xfrm>
                    <a:prstGeom prst="rect">
                      <a:avLst/>
                    </a:prstGeom>
                    <a:noFill/>
                    <a:ln>
                      <a:noFill/>
                    </a:ln>
                  </pic:spPr>
                </pic:pic>
              </a:graphicData>
            </a:graphic>
          </wp:inline>
        </w:drawing>
      </w:r>
    </w:p>
    <w:p w14:paraId="629878A1">
      <w:pPr>
        <w:spacing w:line="300" w:lineRule="auto"/>
        <w:ind w:firstLine="420" w:firstLineChars="200"/>
        <w:jc w:val="center"/>
        <w:rPr>
          <w:rFonts w:hint="eastAsia"/>
          <w:lang w:val="en-US" w:eastAsia="zh-CN"/>
        </w:rPr>
      </w:pPr>
      <w:r>
        <w:rPr>
          <w:rFonts w:hint="eastAsia"/>
          <w:lang w:val="en-US" w:eastAsia="zh-CN"/>
        </w:rPr>
        <w:t xml:space="preserve">  A)MedSAM2模型分割结果；B)Deeplabv3模型分割结果；</w:t>
      </w:r>
    </w:p>
    <w:p w14:paraId="16BB44A2">
      <w:pPr>
        <w:spacing w:line="300" w:lineRule="auto"/>
        <w:ind w:firstLine="420" w:firstLineChars="200"/>
        <w:jc w:val="center"/>
        <w:rPr>
          <w:rFonts w:hint="default"/>
          <w:lang w:val="en-US" w:eastAsia="zh-CN"/>
        </w:rPr>
      </w:pPr>
      <w:r>
        <w:rPr>
          <w:rFonts w:hint="eastAsia"/>
          <w:lang w:val="en-US" w:eastAsia="zh-CN"/>
        </w:rPr>
        <w:t>C)nnUNet2++模型分割结果；D)超声影像原图像；</w:t>
      </w:r>
    </w:p>
    <w:p w14:paraId="123D2CB2">
      <w:pPr>
        <w:spacing w:line="300" w:lineRule="auto"/>
        <w:ind w:firstLine="420" w:firstLineChars="200"/>
        <w:jc w:val="both"/>
        <w:rPr>
          <w:rFonts w:hint="default"/>
          <w:lang w:val="en-US" w:eastAsia="zh-CN"/>
        </w:rPr>
      </w:pPr>
      <w:r>
        <w:rPr>
          <w:rFonts w:hint="eastAsia"/>
          <w:lang w:val="en-US" w:eastAsia="zh-CN"/>
        </w:rPr>
        <w:t>并且在下游微调时，利用在重建训练阶段预训练好的遮掩得分网络，将输入的视频中的重要区域的块作为额外提示添加给特征辅助分类头训练。</w:t>
      </w:r>
    </w:p>
    <w:p w14:paraId="607C7A2B">
      <w:pPr>
        <w:spacing w:line="300" w:lineRule="auto"/>
        <w:ind w:firstLine="420" w:firstLineChars="200"/>
        <w:jc w:val="both"/>
        <w:rPr>
          <w:rFonts w:hint="eastAsia"/>
          <w:lang w:val="en-US" w:eastAsia="zh-CN"/>
        </w:rPr>
      </w:pPr>
      <w:r>
        <w:rPr>
          <w:rFonts w:hint="eastAsia"/>
          <w:lang w:val="en-US" w:eastAsia="zh-CN"/>
        </w:rPr>
        <w:t>技术方案：</w:t>
      </w:r>
    </w:p>
    <w:p w14:paraId="20EDEAB6">
      <w:pPr>
        <w:spacing w:line="300" w:lineRule="auto"/>
        <w:ind w:firstLine="420" w:firstLineChars="200"/>
        <w:jc w:val="both"/>
        <w:rPr>
          <w:rFonts w:hint="eastAsia"/>
          <w:lang w:val="en-US" w:eastAsia="zh-CN"/>
        </w:rPr>
      </w:pPr>
      <w:r>
        <w:rPr>
          <w:rFonts w:hint="eastAsia"/>
          <w:lang w:val="en-US" w:eastAsia="zh-CN"/>
        </w:rPr>
        <w:t>一种基于大模型丰富基础知识指导的重要区域遮掩重建的前列腺癌症T0/T1分期系统设计方法。包含以下步骤：</w:t>
      </w:r>
    </w:p>
    <w:p w14:paraId="4D3266BE">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4D335E8C">
      <w:pPr>
        <w:spacing w:line="300" w:lineRule="auto"/>
        <w:ind w:firstLine="420" w:firstLineChars="200"/>
        <w:jc w:val="both"/>
        <w:rPr>
          <w:rFonts w:hint="eastAsia"/>
          <w:lang w:val="en-US" w:eastAsia="zh-CN"/>
        </w:rPr>
      </w:pPr>
      <w:r>
        <w:rPr>
          <w:rFonts w:hint="eastAsia"/>
          <w:lang w:val="en-US" w:eastAsia="zh-CN"/>
        </w:rPr>
        <w:t>将视频切分为多个等长的剪辑片段，片段长度固定。将片段中的每一帧通过MedSAM2，Deeplabv3，nnUNet2++，三个预训练的分割大模型获得三个模型对帧的分割结果。</w:t>
      </w:r>
    </w:p>
    <w:p w14:paraId="7F2CA258">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步骤2 遮掩得分生成</w:t>
      </w:r>
    </w:p>
    <w:p w14:paraId="3845866C">
      <w:pPr>
        <w:spacing w:line="300" w:lineRule="auto"/>
        <w:ind w:firstLine="420" w:firstLineChars="200"/>
        <w:jc w:val="both"/>
        <w:rPr>
          <w:rFonts w:hint="eastAsia"/>
          <w:lang w:val="en-US" w:eastAsia="zh-CN"/>
        </w:rPr>
      </w:pPr>
      <w:r>
        <w:rPr>
          <w:rFonts w:hint="eastAsia"/>
          <w:lang w:val="en-US" w:eastAsia="zh-CN"/>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395C7F71">
      <w:pPr>
        <w:spacing w:line="300" w:lineRule="auto"/>
        <w:ind w:firstLine="420" w:firstLineChars="200"/>
        <w:jc w:val="both"/>
        <w:rPr>
          <w:rFonts w:hint="eastAsia"/>
          <w:lang w:val="en-US" w:eastAsia="zh-CN"/>
        </w:rPr>
      </w:pPr>
      <w:r>
        <w:rPr>
          <w:rFonts w:hint="eastAsia"/>
          <w:lang w:val="en-US" w:eastAsia="zh-CN"/>
        </w:rPr>
        <w:t>步骤3 预训练编码器</w:t>
      </w:r>
    </w:p>
    <w:p w14:paraId="46211785">
      <w:pPr>
        <w:spacing w:line="300" w:lineRule="auto"/>
        <w:ind w:firstLine="420" w:firstLineChars="200"/>
        <w:jc w:val="both"/>
        <w:rPr>
          <w:rFonts w:hint="eastAsia" w:hAnsi="Cambria Math"/>
          <w:i w:val="0"/>
          <w:szCs w:val="21"/>
          <w:lang w:val="en-US" w:eastAsia="zh-CN"/>
        </w:rPr>
      </w:pPr>
      <w:r>
        <w:rPr>
          <w:rFonts w:hint="eastAsia"/>
          <w:lang w:val="en-US" w:eastAsia="zh-CN"/>
        </w:rPr>
        <w:t>受VideoMAE设计的启发，我们开始先预训练编码器，在这里我们选择的是视觉转换器基础版本(Vision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来更新视觉转换器，通过重建内容和原内容差距和遮掩得分网络计算采样损失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来更新遮掩得分网络。</w:t>
      </w:r>
    </w:p>
    <w:p w14:paraId="5E2462E3">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步骤4 微调编码器、分类头</w:t>
      </w:r>
    </w:p>
    <w:p w14:paraId="110D60A8">
      <w:pPr>
        <w:spacing w:line="300" w:lineRule="auto"/>
        <w:ind w:left="0" w:leftChars="0" w:firstLine="420" w:firstLineChars="0"/>
        <w:jc w:val="both"/>
        <w:rPr>
          <w:rFonts w:hint="default" w:hAnsi="Cambria Math"/>
          <w:i w:val="0"/>
          <w:szCs w:val="21"/>
          <w:lang w:val="en-US" w:eastAsia="zh-CN"/>
        </w:rPr>
      </w:pPr>
      <w:r>
        <w:rPr>
          <w:rFonts w:hint="eastAsia" w:hAnsi="Cambria Math"/>
          <w:i w:val="0"/>
          <w:szCs w:val="21"/>
          <w:lang w:val="en-US" w:eastAsia="zh-CN"/>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1221DECC">
      <w:pPr>
        <w:spacing w:before="120" w:beforeLines="0"/>
        <w:ind w:firstLine="0" w:firstLineChars="0"/>
        <w:rPr>
          <w:rFonts w:hint="eastAsia"/>
          <w:b/>
          <w:bCs/>
        </w:rPr>
      </w:pPr>
      <w:r>
        <w:rPr>
          <w:rFonts w:hint="eastAsia"/>
          <w:b/>
          <w:bCs/>
        </w:rPr>
        <w:t>具体实施方式</w:t>
      </w:r>
    </w:p>
    <w:p w14:paraId="18966977">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2BC20E13">
      <w:pPr>
        <w:spacing w:before="120" w:beforeLines="0"/>
        <w:ind w:firstLine="420" w:firstLineChars="0"/>
        <w:rPr>
          <w:rFonts w:hint="eastAsia"/>
          <w:lang w:val="en-US" w:eastAsia="zh-CN"/>
        </w:rPr>
      </w:pPr>
      <w:r>
        <w:rPr>
          <w:rFonts w:hint="eastAsia"/>
          <w:lang w:val="en-US" w:eastAsia="zh-CN"/>
        </w:rPr>
        <w:t>一种基于大模型丰富基础知识指导的重要区域遮掩重建的前列腺癌症T0/T1分期系统设计方法。如图1所示，包括如下具体步骤：</w:t>
      </w:r>
    </w:p>
    <w:p w14:paraId="15C5C6BF">
      <w:pPr>
        <w:spacing w:before="120" w:beforeLines="0"/>
        <w:ind w:firstLine="420" w:firstLineChars="0"/>
        <w:rPr>
          <w:rFonts w:hint="eastAsia"/>
          <w:lang w:val="en-US" w:eastAsia="zh-CN"/>
        </w:rPr>
      </w:pPr>
      <w:r>
        <w:rPr>
          <w:rFonts w:hint="eastAsia"/>
          <w:lang w:val="en-US" w:eastAsia="zh-CN"/>
        </w:rPr>
        <w:t>步骤1：数据预处理</w:t>
      </w:r>
    </w:p>
    <w:p w14:paraId="04ADDAD2">
      <w:pPr>
        <w:spacing w:before="120" w:beforeLines="0"/>
        <w:ind w:firstLine="420" w:firstLineChars="0"/>
        <w:rPr>
          <w:rFonts w:hint="eastAsia"/>
          <w:lang w:val="en-US" w:eastAsia="zh-CN"/>
        </w:rPr>
      </w:pPr>
      <w:r>
        <w:rPr>
          <w:rFonts w:hint="eastAsia"/>
          <w:lang w:val="en-US" w:eastAsia="zh-CN"/>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lang w:val="en-US"/>
              </w:rPr>
            </m:ctrlPr>
          </m:fPr>
          <m:num>
            <m:r>
              <m:rPr/>
              <w:rPr>
                <w:rFonts w:hint="default" w:ascii="Cambria Math" w:hAnsi="Cambria Math"/>
                <w:sz w:val="24"/>
                <w:szCs w:val="22"/>
                <w:lang w:val="en-US" w:eastAsia="zh-CN"/>
              </w:rPr>
              <m:t>T</m:t>
            </m:r>
            <m:ctrlPr>
              <w:rPr>
                <w:rFonts w:ascii="Cambria Math" w:hAnsi="Cambria Math"/>
                <w:i/>
                <w:sz w:val="24"/>
                <w:szCs w:val="22"/>
                <w:lang w:val="en-US"/>
              </w:rPr>
            </m:ctrlPr>
          </m:num>
          <m:den>
            <m:r>
              <m:rPr/>
              <w:rPr>
                <w:rFonts w:hint="default" w:ascii="Cambria Math" w:hAnsi="Cambria Math"/>
                <w:sz w:val="24"/>
                <w:szCs w:val="22"/>
                <w:lang w:val="en-US" w:eastAsia="zh-CN"/>
              </w:rPr>
              <m:t>L</m:t>
            </m:r>
            <m:ctrlPr>
              <w:rPr>
                <w:rFonts w:ascii="Cambria Math" w:hAnsi="Cambria Math"/>
                <w:i/>
                <w:sz w:val="24"/>
                <w:szCs w:val="22"/>
                <w:lang w:val="en-US"/>
              </w:rPr>
            </m:ctrlPr>
          </m:den>
        </m:f>
      </m:oMath>
      <w:r>
        <w:rPr>
          <w:rFonts w:hint="eastAsia"/>
          <w:lang w:val="en-US" w:eastAsia="zh-CN"/>
        </w:rPr>
        <w:t>，从第1帧到第step帧。其中每一帧开始往下均匀的采样，每隔step帧就采样进入本剪辑内，最终获得多个等长剪辑片段：</w:t>
      </w:r>
    </w:p>
    <w:p w14:paraId="3922796B">
      <w:pPr>
        <w:spacing w:before="120" w:beforeLines="0"/>
        <w:ind w:firstLine="420" w:firstLineChars="0"/>
        <w:rPr>
          <w:rFonts w:hAnsi="Cambria Math"/>
          <w:i w:val="0"/>
          <w:lang w:val="en-US"/>
        </w:rPr>
      </w:pPr>
      <m:oMathPara>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m:oMathPara>
    </w:p>
    <w:p w14:paraId="4021EF2A">
      <w:pPr>
        <w:spacing w:before="120" w:beforeLines="0"/>
        <w:ind w:firstLine="420" w:firstLineChars="0"/>
        <w:rPr>
          <w:rFonts w:hint="eastAsia"/>
          <w:lang w:val="en-US" w:eastAsia="zh-CN"/>
        </w:rPr>
      </w:pPr>
      <w:r>
        <w:rPr>
          <w:rFonts w:hint="eastAsia" w:hAnsi="Cambria Math"/>
          <w:i w:val="0"/>
          <w:lang w:val="en-US" w:eastAsia="zh-CN"/>
        </w:rPr>
        <w:t>此时经过预训练的分割模型</w:t>
      </w:r>
      <w:r>
        <w:rPr>
          <w:rFonts w:hint="eastAsia"/>
          <w:lang w:val="en-US" w:eastAsia="zh-CN"/>
        </w:rPr>
        <w:t>MedSAM2，Deeplabv3，nnUNet2++我们获得对应的分割内容：</w:t>
      </w:r>
    </w:p>
    <w:p w14:paraId="770BEFA6">
      <w:pPr>
        <w:spacing w:before="120" w:beforeLines="0"/>
        <w:ind w:firstLine="420" w:firstLineChars="0"/>
        <w:rPr>
          <w:rFonts w:hint="default" w:hAnsi="Cambria Math"/>
          <w:i w:val="0"/>
          <w:lang w:val="en-US" w:eastAsia="zh-CN"/>
        </w:rPr>
      </w:pPr>
      <m:oMathPara>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m:oMathPara>
    </w:p>
    <w:p w14:paraId="797C1185">
      <w:pPr>
        <w:spacing w:before="120" w:beforeLines="0"/>
        <w:ind w:firstLine="420" w:firstLineChars="0"/>
        <w:rPr>
          <w:rFonts w:hint="eastAsia" w:hAnsi="Cambria Math"/>
          <w:i w:val="0"/>
          <w:lang w:val="en-US" w:eastAsia="zh-CN"/>
        </w:rPr>
      </w:pPr>
      <w:r>
        <w:rPr>
          <w:rFonts w:hint="eastAsia" w:hAnsi="Cambria Math"/>
          <w:i w:val="0"/>
          <w:lang w:val="en-US" w:eastAsia="zh-CN"/>
        </w:rPr>
        <w:t>步骤2：遮掩得分生成</w:t>
      </w:r>
    </w:p>
    <w:p w14:paraId="17C9024F">
      <w:pPr>
        <w:spacing w:before="120" w:beforeLines="0"/>
        <w:ind w:firstLine="420" w:firstLineChars="0"/>
        <w:rPr>
          <w:rFonts w:hint="eastAsia" w:hAnsi="Cambria Math" w:cs="Times New Roman"/>
          <w:b w:val="0"/>
          <w:i w:val="0"/>
          <w:sz w:val="21"/>
          <w:lang w:val="en-US" w:eastAsia="zh-CN" w:bidi="ar-SA"/>
        </w:rPr>
      </w:pPr>
      <w:r>
        <w:rPr>
          <w:rFonts w:hint="eastAsia" w:hAnsi="Cambria Math"/>
          <w:i w:val="0"/>
          <w:lang w:val="en-US" w:eastAsia="zh-CN"/>
        </w:rPr>
        <w:t>我们采用联合时空的立方嵌入(Embedding)，具体来说对于一个剪辑Clip大小为</w:t>
      </w:r>
      <m:oMath>
        <m:r>
          <m:rPr>
            <m:sty m:val="p"/>
          </m:rPr>
          <w:rPr>
            <w:rFonts w:hint="default" w:ascii="Cambria Math" w:hAnsi="Cambria Math" w:cs="Times New Roman"/>
            <w:sz w:val="21"/>
            <w:lang w:val="en-US" w:eastAsia="zh-CN" w:bidi="ar-SA"/>
          </w:rPr>
          <m:t>L</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oMath>
      <w:r>
        <w:rPr>
          <w:rFonts w:hint="eastAsia" w:hAnsi="Cambria Math" w:cs="Times New Roman"/>
          <w:i w:val="0"/>
          <w:sz w:val="21"/>
          <w:lang w:val="en-US" w:eastAsia="zh-CN" w:bidi="ar-SA"/>
        </w:rPr>
        <w:t>，我们在时间上采样2单位，空间上采样</w:t>
      </w:r>
      <m:oMath>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i w:val="0"/>
          <w:sz w:val="21"/>
          <w:lang w:val="en-US" w:eastAsia="zh-CN" w:bidi="ar-SA"/>
        </w:rPr>
        <w:t>单位，就获得了N=(</w:t>
      </w:r>
      <m:oMath>
        <m:f>
          <m:fPr>
            <m:ctrlPr>
              <w:rPr>
                <w:rFonts w:ascii="Cambria Math" w:hAnsi="Cambria Math" w:cs="Times New Roman"/>
                <w:i/>
                <w:sz w:val="22"/>
                <w:szCs w:val="21"/>
                <w:lang w:val="en-US" w:bidi="ar-SA"/>
              </w:rPr>
            </m:ctrlPr>
          </m:fPr>
          <m:num>
            <m:r>
              <m:rPr/>
              <w:rPr>
                <w:rFonts w:hint="default" w:ascii="Cambria Math" w:hAnsi="Cambria Math" w:cs="Times New Roman"/>
                <w:sz w:val="22"/>
                <w:szCs w:val="21"/>
                <w:lang w:val="en-US" w:eastAsia="zh-CN" w:bidi="ar-SA"/>
              </w:rPr>
              <m:t>L</m:t>
            </m:r>
            <m:ctrlPr>
              <w:rPr>
                <w:rFonts w:ascii="Cambria Math" w:hAnsi="Cambria Math" w:cs="Times New Roman"/>
                <w:i/>
                <w:sz w:val="22"/>
                <w:szCs w:val="21"/>
                <w:lang w:val="en-US" w:bidi="ar-SA"/>
              </w:rPr>
            </m:ctrlPr>
          </m:num>
          <m:den>
            <m:r>
              <m:rPr/>
              <w:rPr>
                <w:rFonts w:hint="default" w:ascii="Cambria Math" w:hAnsi="Cambria Math" w:cs="Times New Roman"/>
                <w:sz w:val="22"/>
                <w:szCs w:val="21"/>
                <w:lang w:val="en-US" w:eastAsia="zh-CN" w:bidi="ar-SA"/>
              </w:rPr>
              <m:t>2</m:t>
            </m:r>
            <m:ctrlPr>
              <w:rPr>
                <w:rFonts w:ascii="Cambria Math" w:hAnsi="Cambria Math" w:cs="Times New Roman"/>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H</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W</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oMath>
      <w:r>
        <w:rPr>
          <w:rFonts w:hint="eastAsia" w:hAnsi="Cambria Math" w:cs="Cambria Math"/>
          <w:i w:val="0"/>
          <w:sz w:val="21"/>
          <w:lang w:val="en-US" w:eastAsia="zh-CN" w:bidi="ar-SA"/>
        </w:rPr>
        <w:t>)个大小为</w:t>
      </w:r>
      <m:oMath>
        <m:r>
          <m:rPr>
            <m:sty m:val="p"/>
          </m:rPr>
          <w:rPr>
            <w:rFonts w:hint="default" w:ascii="Cambria Math" w:hAnsi="Cambria Math" w:cs="Times New Roman"/>
            <w:sz w:val="21"/>
            <w:lang w:val="en-US" w:eastAsia="zh-CN" w:bidi="ar-SA"/>
          </w:rPr>
          <m:t>2</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b w:val="0"/>
          <w:i w:val="0"/>
          <w:sz w:val="21"/>
          <w:lang w:val="en-US" w:eastAsia="zh-CN" w:bidi="ar-SA"/>
        </w:rPr>
        <w:t>的块，将每个令牌映射成</w:t>
      </w:r>
      <m:oMath>
        <m:r>
          <m:rPr>
            <m:sty m:val="p"/>
          </m:rPr>
          <w:rPr>
            <w:rFonts w:hint="eastAsia" w:ascii="Cambria Math" w:hAnsi="Cambria Math" w:cs="Times New Roman"/>
            <w:sz w:val="21"/>
            <w:lang w:val="en-US" w:eastAsia="zh-CN" w:bidi="ar-SA"/>
          </w:rPr>
          <m:t>d=768</m:t>
        </m:r>
      </m:oMath>
      <w:r>
        <w:rPr>
          <w:rFonts w:hint="eastAsia" w:hAnsi="Cambria Math" w:cs="Times New Roman"/>
          <w:b w:val="0"/>
          <w:i w:val="0"/>
          <w:sz w:val="21"/>
          <w:lang w:val="en-US" w:eastAsia="zh-CN" w:bidi="ar-SA"/>
        </w:rPr>
        <w:t>维度。这样做来缓解时空冗余。</w:t>
      </w:r>
    </w:p>
    <w:p w14:paraId="3B289878">
      <w:pPr>
        <w:spacing w:before="120" w:beforeLines="0"/>
        <w:ind w:firstLine="420" w:firstLineChars="0"/>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对于这些令牌，我们输入遮掩得分网络，遮掩得分网络分为3个独立的多头注意力块和全连接层，具体计算如下：对于已经嵌入的令牌</w:t>
      </w:r>
      <m:oMath>
        <m:r>
          <m:rPr>
            <m:sty m:val="p"/>
          </m:rPr>
          <w:rPr>
            <w:rFonts w:hint="default" w:ascii="Cambria Math" w:hAnsi="Cambria Math" w:cs="Times New Roman"/>
            <w:sz w:val="21"/>
            <w:lang w:val="en-US" w:eastAsia="zh-CN" w:bidi="ar-SA"/>
          </w:rPr>
          <m:t>x</m:t>
        </m:r>
        <m:r>
          <m:rPr>
            <m:sty m:val="p"/>
          </m:rPr>
          <w:rPr>
            <w:rFonts w:hint="default" w:ascii="Cambria Math" w:hAnsi="Cambria Math" w:cs="Cambria Math"/>
            <w:sz w:val="21"/>
            <w:lang w:val="en-US" w:eastAsia="zh-CN" w:bidi="ar-SA"/>
          </w:rPr>
          <m:t>∈</m:t>
        </m:r>
        <m:sSup>
          <m:sSupPr>
            <m:ctrlPr>
              <w:rPr>
                <w:rFonts w:hint="default" w:ascii="Cambria Math" w:hAnsi="Cambria Math" w:cs="Cambria Math"/>
                <w:b w:val="0"/>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b w:val="0"/>
                <w:i w:val="0"/>
                <w:sz w:val="21"/>
                <w:lang w:val="en-US" w:eastAsia="zh-CN" w:bidi="ar-SA"/>
              </w:rPr>
            </m:ctrlPr>
          </m:e>
          <m:sup>
            <m:r>
              <m:rPr>
                <m:sty m:val="p"/>
              </m:rPr>
              <w:rPr>
                <w:rFonts w:hint="default" w:ascii="Cambria Math" w:hAnsi="Cambria Math" w:cs="Times New Roman"/>
                <w:sz w:val="21"/>
                <w:lang w:val="en-US" w:eastAsia="zh-CN" w:bidi="ar-SA"/>
              </w:rPr>
              <m:t>N</m:t>
            </m:r>
            <m:r>
              <m:rPr>
                <m:sty m:val="p"/>
              </m:rPr>
              <w:rPr>
                <w:rFonts w:ascii="Cambria Math" w:hAnsi="Cambria Math" w:cs="Times New Roman"/>
                <w:sz w:val="21"/>
                <w:lang w:val="en-US" w:bidi="ar-SA"/>
              </w:rPr>
              <m:t>×</m:t>
            </m:r>
            <m:r>
              <m:rPr>
                <m:sty m:val="p"/>
              </m:rPr>
              <w:rPr>
                <w:rFonts w:hint="default" w:ascii="Cambria Math" w:hAnsi="Cambria Math" w:cs="Times New Roman"/>
                <w:sz w:val="21"/>
                <w:lang w:val="en-US" w:eastAsia="zh-CN" w:bidi="ar-SA"/>
              </w:rPr>
              <m:t>d</m:t>
            </m:r>
            <m:r>
              <m:rPr>
                <m:sty m:val="p"/>
              </m:rPr>
              <w:rPr>
                <w:rFonts w:hint="default" w:ascii="Cambria Math" w:hAnsi="Cambria Math" w:cs="Cambria Math"/>
                <w:sz w:val="21"/>
                <w:lang w:val="en-US" w:eastAsia="zh-CN" w:bidi="ar-SA"/>
              </w:rPr>
              <m:t xml:space="preserve"> </m:t>
            </m:r>
            <m:ctrlPr>
              <w:rPr>
                <w:rFonts w:hint="default" w:ascii="Cambria Math" w:hAnsi="Cambria Math" w:cs="Cambria Math"/>
                <w:b w:val="0"/>
                <w:i w:val="0"/>
                <w:sz w:val="21"/>
                <w:lang w:val="en-US" w:eastAsia="zh-CN" w:bidi="ar-SA"/>
              </w:rPr>
            </m:ctrlPr>
          </m:sup>
        </m:sSup>
      </m:oMath>
    </w:p>
    <w:p w14:paraId="1DCF962E">
      <w:pPr>
        <w:spacing w:before="120" w:beforeLines="0"/>
        <w:ind w:firstLine="420" w:firstLineChars="0"/>
        <w:rPr>
          <w:rFonts w:hint="default" w:hAnsi="Cambria Math" w:cs="Cambria Math"/>
          <w:b w:val="0"/>
          <w:i w:val="0"/>
          <w:sz w:val="21"/>
          <w:lang w:val="en-US" w:eastAsia="zh-CN" w:bidi="ar-SA"/>
        </w:rPr>
      </w:pPr>
      <m:oMathPara>
        <m:oMath>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Times New Roman"/>
              <w:sz w:val="22"/>
              <w:lang w:val="en-US" w:eastAsia="zh-CN" w:bidi="ar-SA"/>
            </w:rPr>
            <m:t>=</m:t>
          </m:r>
          <m:sSub>
            <m:sSubPr>
              <m:ctrlPr>
                <w:rPr>
                  <w:rFonts w:hint="default" w:ascii="Cambria Math" w:hAnsi="Cambria Math" w:cs="Times New Roman"/>
                  <w:b w:val="0"/>
                  <w:i w:val="0"/>
                  <w:sz w:val="22"/>
                  <w:szCs w:val="21"/>
                  <w:lang w:val="en-US" w:eastAsia="zh-CN" w:bidi="ar-SA"/>
                </w:rPr>
              </m:ctrlPr>
            </m:sSubPr>
            <m:e>
              <m:r>
                <m:rPr>
                  <m:sty m:val="p"/>
                </m:rPr>
                <w:rPr>
                  <w:rFonts w:hint="default" w:ascii="Cambria Math" w:hAnsi="Cambria Math" w:cs="Times New Roman"/>
                  <w:sz w:val="22"/>
                  <w:szCs w:val="21"/>
                  <w:lang w:val="en-US" w:eastAsia="zh-CN" w:bidi="ar-SA"/>
                </w:rPr>
                <m:t>MHA(x)</m:t>
              </m:r>
              <m:ctrlPr>
                <w:rPr>
                  <w:rFonts w:hint="default" w:ascii="Cambria Math" w:hAnsi="Cambria Math" w:cs="Times New Roman"/>
                  <w:b w:val="0"/>
                  <w:i w:val="0"/>
                  <w:sz w:val="22"/>
                  <w:szCs w:val="21"/>
                  <w:lang w:val="en-US" w:eastAsia="zh-CN" w:bidi="ar-SA"/>
                </w:rPr>
              </m:ctrlPr>
            </m:e>
            <m:sub>
              <m:r>
                <m:rPr>
                  <m:sty m:val="p"/>
                </m:rPr>
                <w:rPr>
                  <w:rFonts w:hint="default" w:ascii="Cambria Math" w:hAnsi="Cambria Math" w:cs="Times New Roman"/>
                  <w:sz w:val="22"/>
                  <w:szCs w:val="21"/>
                  <w:lang w:val="en-US" w:eastAsia="zh-CN" w:bidi="ar-SA"/>
                </w:rPr>
                <m:t>j</m:t>
              </m:r>
              <m:ctrlPr>
                <w:rPr>
                  <w:rFonts w:hint="default" w:ascii="Cambria Math" w:hAnsi="Cambria Math" w:cs="Times New Roman"/>
                  <w:b w:val="0"/>
                  <w:i w:val="0"/>
                  <w:sz w:val="22"/>
                  <w:szCs w:val="21"/>
                  <w:lang w:val="en-US" w:eastAsia="zh-CN" w:bidi="ar-SA"/>
                </w:rPr>
              </m:ctrlPr>
            </m:sub>
          </m:sSub>
          <m:r>
            <m:rPr>
              <m:sty m:val="p"/>
            </m:rPr>
            <w:rPr>
              <w:rFonts w:hint="default" w:ascii="Cambria Math" w:hAnsi="Cambria Math" w:cs="Times New Roman"/>
              <w:sz w:val="22"/>
              <w:lang w:val="en-US" w:eastAsia="zh-CN" w:bidi="ar-SA"/>
            </w:rPr>
            <m:t>; 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(1,2,3),y</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Times New Roman"/>
                  <w:sz w:val="22"/>
                  <w:lang w:val="en-US" w:eastAsia="zh-CN" w:bidi="ar-SA"/>
                </w:rPr>
                <m:t>N</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d</m:t>
              </m:r>
              <m:r>
                <m:rPr>
                  <m:sty m:val="p"/>
                </m:rPr>
                <w:rPr>
                  <w:rFonts w:hint="default" w:ascii="Cambria Math" w:hAnsi="Cambria Math" w:cs="Cambria Math"/>
                  <w:sz w:val="22"/>
                  <w:lang w:val="en-US" w:eastAsia="zh-CN" w:bidi="ar-SA"/>
                </w:rPr>
                <m:t xml:space="preserve"> </m:t>
              </m:r>
              <m:ctrlPr>
                <w:rPr>
                  <w:rFonts w:hint="default" w:ascii="Cambria Math" w:hAnsi="Cambria Math" w:cs="Cambria Math"/>
                  <w:b w:val="0"/>
                  <w:i w:val="0"/>
                  <w:sz w:val="22"/>
                  <w:lang w:val="en-US" w:eastAsia="zh-CN" w:bidi="ar-SA"/>
                </w:rPr>
              </m:ctrlPr>
            </m:sup>
          </m:sSup>
        </m:oMath>
      </m:oMathPara>
    </w:p>
    <w:p w14:paraId="1E833F98">
      <w:pPr>
        <w:spacing w:before="120" w:beforeLines="0"/>
        <w:ind w:firstLine="420" w:firstLineChars="0"/>
        <w:rPr>
          <w:rFonts w:hint="default" w:hAnsi="Cambria Math" w:cs="Cambria Math"/>
          <w:i w:val="0"/>
          <w:sz w:val="21"/>
          <w:lang w:val="en-US" w:bidi="ar-SA"/>
        </w:rPr>
      </w:pPr>
      <m:oMathPara>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FC(</m:t>
          </m:r>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Cambria Math"/>
              <w:sz w:val="21"/>
              <w:lang w:val="en-US" w:eastAsia="zh-CN" w:bidi="ar-SA"/>
            </w:rPr>
            <m:t xml:space="preserve">); </m:t>
          </m:r>
          <m:r>
            <m:rPr>
              <m:sty m:val="p"/>
            </m:rPr>
            <w:rPr>
              <w:rFonts w:hint="default" w:ascii="Cambria Math" w:hAnsi="Cambria Math" w:cs="Times New Roman"/>
              <w:sz w:val="22"/>
              <w:lang w:val="en-US" w:eastAsia="zh-CN" w:bidi="ar-SA"/>
            </w:rPr>
            <m:t>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oMath>
      </m:oMathPara>
    </w:p>
    <w:p w14:paraId="07B0AE48">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此处加入在数据预处理阶段就获得的分割内容</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w:r>
        <w:rPr>
          <w:rFonts w:hint="eastAsia" w:hAnsi="Cambria Math"/>
          <w:i w:val="0"/>
          <w:lang w:val="en-US" w:eastAsia="zh-CN"/>
        </w:rPr>
        <w:t>，针对我们现在计算的这一个剪辑，我们获得</w:t>
      </w:r>
      <m:oMath>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也就是对应该剪辑片段的对应三个大模型分割的结果。我们做如下计算：</w:t>
      </w:r>
    </w:p>
    <w:p w14:paraId="1B191F78">
      <w:pPr>
        <w:spacing w:before="120" w:beforeLines="0"/>
        <w:ind w:firstLine="420" w:firstLineChars="0"/>
        <w:rPr>
          <w:rFonts w:hint="default" w:hAnsi="Cambria Math" w:cs="Cambria Math"/>
          <w:i w:val="0"/>
          <w:sz w:val="21"/>
          <w:lang w:val="en-US" w:bidi="ar-SA"/>
        </w:rPr>
      </w:pPr>
      <m:oMathPara>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InR</m:t>
          </m:r>
          <m:r>
            <m:rPr>
              <m:sty m:val="p"/>
            </m:rPr>
            <w:rPr>
              <w:rFonts w:hint="eastAsia" w:ascii="Cambria Math" w:hAnsi="Cambria Math" w:cs="Cambria Math"/>
              <w:sz w:val="21"/>
              <w:lang w:val="en-US" w:eastAsia="zh-CN" w:bidi="ar-SA"/>
            </w:rPr>
            <m:t>o</m:t>
          </m:r>
          <m:r>
            <m:rPr>
              <m:sty m:val="p"/>
            </m:rPr>
            <w:rPr>
              <w:rFonts w:hint="default" w:ascii="Cambria Math" w:hAnsi="Cambria Math" w:cs="Cambria Math"/>
              <w:sz w:val="21"/>
              <w:lang w:val="en-US" w:eastAsia="zh-CN" w:bidi="ar-SA"/>
            </w:rPr>
            <m:t>I</m:t>
          </m:r>
          <m:r>
            <m:rPr/>
            <w:rPr>
              <w:rFonts w:hint="default" w:ascii="Cambria Math" w:hAnsi="Cambria Math" w:cs="Cambria Math"/>
              <w:sz w:val="21"/>
              <w:lang w:val="en-US" w:eastAsia="zh-CN" w:bidi="ar-SA"/>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cs="Cambria Math"/>
              <w:sz w:val="21"/>
              <w:lang w:val="en-US" w:eastAsia="zh-CN" w:bidi="ar-SA"/>
            </w:rPr>
            <m:t xml:space="preserve">); </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oMath>
      </m:oMathPara>
    </w:p>
    <w:p w14:paraId="3FB1CAFE">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其中的InRoI函数表示的是N个令牌代表的位置是否在分割图像内，如果是就返还一个小值增加该令牌的得分</w:t>
      </w: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。如果不在就返还0。具体如下：</w:t>
      </w:r>
    </w:p>
    <w:p w14:paraId="2494AC22">
      <w:pPr>
        <w:spacing w:before="120" w:beforeLines="0"/>
        <w:ind w:firstLine="420" w:firstLineChars="0"/>
        <w:rPr>
          <w:rFonts w:hAnsi="Cambria Math"/>
          <w:i w:val="0"/>
          <w:lang w:val="en-US"/>
        </w:rPr>
      </w:pPr>
      <m:oMathPara>
        <m:oMath>
          <m:r>
            <m:rPr>
              <m:sty m:val="p"/>
            </m:rPr>
            <w:rPr>
              <w:rFonts w:hint="eastAsia" w:ascii="Cambria Math" w:hAnsi="Cambria Math"/>
              <w:lang w:val="en-US" w:eastAsia="zh-CN"/>
            </w:rPr>
            <m:t>I</m:t>
          </m:r>
          <m:r>
            <m:rPr>
              <m:sty m:val="p"/>
            </m:rPr>
            <w:rPr>
              <w:rFonts w:hint="default" w:ascii="Cambria Math" w:hAnsi="Cambria Math"/>
              <w:lang w:val="en-US" w:eastAsia="zh-CN"/>
            </w:rPr>
            <m:t>nRoI(</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m:sty m:val="p"/>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ascii="Cambria Math" w:hAnsi="Cambria Math"/>
                      <w:i/>
                      <w:lang w:val="en-US"/>
                    </w:rPr>
                  </m:ctrlPr>
                </m:eqArrPr>
                <m:e>
                  <m:r>
                    <m:rPr/>
                    <w:rPr>
                      <w:rFonts w:hint="default" w:ascii="Cambria Math" w:hAnsi="Cambria Math"/>
                      <w:lang w:val="en-US" w:eastAsia="zh-CN"/>
                    </w:rPr>
                    <m:t xml:space="preserve">α ; </m:t>
                  </m:r>
                  <m:r>
                    <m:rPr>
                      <m:sty m:val="p"/>
                    </m:rPr>
                    <w:rPr>
                      <w:rFonts w:hint="default" w:ascii="Cambria Math" w:hAnsi="Cambria Math"/>
                      <w:lang w:val="en-US" w:eastAsia="zh-CN"/>
                    </w:rPr>
                    <m:t>if</m:t>
                  </m:r>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 xml:space="preserve"> </m:t>
                  </m:r>
                  <m:r>
                    <m:rPr>
                      <m:sty m:val="p"/>
                    </m:rPr>
                    <w:rPr>
                      <w:rFonts w:hint="default" w:ascii="Cambria Math" w:hAnsi="Cambria Math" w:cs="Cambria Math"/>
                      <w:sz w:val="21"/>
                      <w:lang w:val="en-US" w:eastAsia="zh-CN" w:bidi="ar-SA"/>
                    </w:rPr>
                    <m:t>in Region of Interest</m:t>
                  </m:r>
                  <m:r>
                    <m:rPr/>
                    <w:rPr>
                      <w:rFonts w:hint="default" w:ascii="Cambria Math" w:hAnsi="Cambria Math"/>
                      <w:lang w:val="en-US" w:eastAsia="zh-CN"/>
                    </w:rPr>
                    <m:t>)</m:t>
                  </m:r>
                  <m:ctrlPr>
                    <w:rPr>
                      <w:rFonts w:ascii="Cambria Math" w:hAnsi="Cambria Math"/>
                      <w:i/>
                      <w:lang w:val="en-US"/>
                    </w:rPr>
                  </m:ctrlPr>
                </m:e>
                <m:e>
                  <m:r>
                    <m:rPr/>
                    <w:rPr>
                      <w:rFonts w:hint="default" w:ascii="Cambria Math" w:hAnsi="Cambria Math"/>
                      <w:lang w:val="en-US" w:eastAsia="zh-CN"/>
                    </w:rPr>
                    <m:t xml:space="preserve">0 ; else                                           </m:t>
                  </m:r>
                  <m:ctrlPr>
                    <w:rPr>
                      <w:rFonts w:ascii="Cambria Math" w:hAnsi="Cambria Math"/>
                      <w:i/>
                      <w:lang w:val="en-US"/>
                    </w:rPr>
                  </m:ctrlPr>
                </m:e>
              </m:eqArr>
              <m:ctrlPr>
                <w:rPr>
                  <w:rFonts w:ascii="Cambria Math" w:hAnsi="Cambria Math"/>
                  <w:i/>
                  <w:lang w:val="en-US"/>
                </w:rPr>
              </m:ctrlPr>
            </m:e>
          </m:d>
        </m:oMath>
      </m:oMathPara>
    </w:p>
    <w:p w14:paraId="53FD7932">
      <w:pPr>
        <w:spacing w:before="120" w:beforeLines="0"/>
        <w:ind w:firstLine="420" w:firstLineChars="0"/>
        <w:rPr>
          <w:rFonts w:hint="eastAsia"/>
          <w:lang w:val="en-US" w:eastAsia="zh-CN"/>
        </w:rPr>
      </w:pPr>
      <w:r>
        <w:rPr>
          <w:rFonts w:hint="eastAsia" w:hAnsi="Cambria Math"/>
          <w:i w:val="0"/>
          <w:lang w:val="en-US" w:eastAsia="zh-CN"/>
        </w:rPr>
        <w:t>步骤3：</w:t>
      </w:r>
      <w:r>
        <w:rPr>
          <w:rFonts w:hint="eastAsia"/>
          <w:lang w:val="en-US" w:eastAsia="zh-CN"/>
        </w:rPr>
        <w:t>预训练编码器</w:t>
      </w:r>
    </w:p>
    <w:p w14:paraId="062AE8C3">
      <w:pPr>
        <w:spacing w:before="120" w:beforeLines="0"/>
        <w:ind w:firstLine="420" w:firstLineChars="0"/>
        <w:rPr>
          <w:rFonts w:hint="eastAsia" w:hAnsi="Cambria Math"/>
          <w:i w:val="0"/>
          <w:szCs w:val="21"/>
          <w:lang w:val="en-US" w:eastAsia="zh-CN"/>
        </w:rPr>
      </w:pPr>
      <w:r>
        <w:rPr>
          <w:rFonts w:hint="eastAsia"/>
          <w:lang w:val="en-US" w:eastAsia="zh-CN"/>
        </w:rPr>
        <w:t>对于得到的</w:t>
      </w:r>
      <w:r>
        <w:rPr>
          <w:rFonts w:hint="eastAsia" w:hAnsi="Cambria Math" w:cs="Cambria Math"/>
          <w:i w:val="0"/>
          <w:sz w:val="21"/>
          <w:lang w:val="en-US" w:eastAsia="zh-CN" w:bidi="ar-SA"/>
        </w:rPr>
        <w:t>令牌遮掩的得分</w:t>
      </w: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，我们将前90%的令牌遮掩后将剩下的10%可见令牌输入编码器(Encoder)，进行编码之后将之前遮掩的90%令牌添加到编码过的令牌中，然后输入视觉解码器(Decoder)，进行重建，得到重建结果</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。此时我们计算重建损失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来更新编码器解码器的权重。损失公式如下：</w:t>
      </w:r>
    </w:p>
    <w:p w14:paraId="6F4BBD81">
      <w:pPr>
        <w:spacing w:before="120" w:beforeLines="0"/>
        <w:ind w:firstLine="420" w:firstLineChars="0"/>
        <w:rPr>
          <w:rFonts w:hint="default" w:hAnsi="Cambria Math"/>
          <w:i w:val="0"/>
          <w:szCs w:val="21"/>
          <w:lang w:val="en-US" w:eastAsia="zh-CN"/>
        </w:rPr>
      </w:pPr>
      <m:oMathPara>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r>
            <m:rPr>
              <m:sty m:val="p"/>
            </m:rPr>
            <w:rPr>
              <w:rFonts w:hint="default" w:ascii="Cambria Math" w:hAnsi="Cambria Math"/>
              <w:szCs w:val="21"/>
              <w:lang w:val="en-US" w:eastAsia="zh-CN"/>
            </w:rPr>
            <m:t>=</m:t>
          </m:r>
          <m:f>
            <m:fPr>
              <m:ctrlPr>
                <w:rPr>
                  <w:rFonts w:hint="default" w:ascii="Cambria Math" w:hAnsi="Cambria Math"/>
                  <w:szCs w:val="21"/>
                  <w:lang w:val="en-US" w:eastAsia="zh-CN"/>
                </w:rPr>
              </m:ctrlPr>
            </m:fPr>
            <m:num>
              <m:r>
                <m:rPr>
                  <m:sty m:val="p"/>
                </m:rPr>
                <w:rPr>
                  <w:rFonts w:hint="default" w:ascii="Cambria Math" w:hAnsi="Cambria Math"/>
                  <w:szCs w:val="21"/>
                  <w:lang w:val="en-US" w:eastAsia="zh-CN"/>
                </w:rPr>
                <m:t>1</m:t>
              </m:r>
              <m:ctrlPr>
                <w:rPr>
                  <w:rFonts w:hint="default" w:ascii="Cambria Math" w:hAnsi="Cambria Math"/>
                  <w:szCs w:val="21"/>
                  <w:lang w:val="en-US" w:eastAsia="zh-CN"/>
                </w:rPr>
              </m:ctrlPr>
            </m:num>
            <m:den>
              <m:r>
                <m:rPr>
                  <m:sty m:val="p"/>
                </m:rPr>
                <w:rPr>
                  <w:rFonts w:hint="default" w:ascii="Cambria Math" w:hAnsi="Cambria Math"/>
                  <w:szCs w:val="21"/>
                  <w:lang w:val="en-US" w:eastAsia="zh-CN"/>
                </w:rPr>
                <m:t>|</m:t>
              </m:r>
              <m:r>
                <m:rPr>
                  <m:sty m:val="p"/>
                </m:rPr>
                <w:rPr>
                  <w:rFonts w:hint="eastAsia" w:ascii="Cambria Math" w:hAnsi="Cambria Math"/>
                  <w:szCs w:val="21"/>
                  <w:lang w:val="en-US" w:eastAsia="zh-CN"/>
                </w:rPr>
                <m:t>N</m:t>
              </m:r>
              <m:r>
                <m:rPr>
                  <m:sty m:val="p"/>
                </m:rPr>
                <w:rPr>
                  <w:rFonts w:hint="default" w:ascii="Cambria Math" w:hAnsi="Cambria Math"/>
                  <w:szCs w:val="21"/>
                  <w:lang w:val="en-US" w:eastAsia="zh-CN"/>
                </w:rPr>
                <m:t>|</m:t>
              </m:r>
              <m:ctrlPr>
                <w:rPr>
                  <w:rFonts w:hint="default" w:ascii="Cambria Math" w:hAnsi="Cambria Math"/>
                  <w:szCs w:val="21"/>
                  <w:lang w:val="en-US" w:eastAsia="zh-CN"/>
                </w:rPr>
              </m:ctrlPr>
            </m:den>
          </m:f>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N</m:t>
              </m:r>
              <m:ctrlPr>
                <w:rPr>
                  <w:rFonts w:hint="default" w:ascii="Cambria Math" w:hAnsi="Cambria Math"/>
                  <w:szCs w:val="21"/>
                  <w:lang w:val="en-US" w:eastAsia="zh-CN"/>
                </w:rPr>
              </m:ctrlPr>
            </m:sub>
            <m:sup>
              <m:ctrlPr>
                <w:rPr>
                  <w:rFonts w:hint="default" w:ascii="Cambria Math" w:hAnsi="Cambria Math"/>
                  <w:szCs w:val="21"/>
                  <w:lang w:val="en-US" w:eastAsia="zh-CN"/>
                </w:rPr>
              </m:ctrlPr>
            </m:sup>
            <m:e>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oMath>
      </m:oMathPara>
    </w:p>
    <w:p w14:paraId="4899566A">
      <w:pPr>
        <w:spacing w:before="120" w:beforeLines="0"/>
        <w:ind w:firstLine="420" w:firstLineChars="0"/>
        <w:rPr>
          <w:rFonts w:hint="eastAsia" w:hAnsi="Cambria Math"/>
          <w:i w:val="0"/>
          <w:lang w:val="en-US" w:eastAsia="zh-CN"/>
        </w:rPr>
      </w:pPr>
      <w:r>
        <w:rPr>
          <w:rFonts w:hint="eastAsia" w:hAnsi="Cambria Math"/>
          <w:i w:val="0"/>
          <w:szCs w:val="21"/>
          <w:lang w:val="en-US" w:eastAsia="zh-CN"/>
        </w:rPr>
        <w:t>其中N代表所有令牌的个数，</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和</w:t>
      </w:r>
      <m:oMath>
        <m:r>
          <m:rPr/>
          <w:rPr>
            <w:rFonts w:hint="default" w:ascii="Cambria Math" w:hAnsi="Cambria Math"/>
            <w:lang w:val="en-US" w:eastAsia="zh-CN"/>
          </w:rPr>
          <m:t>I</m:t>
        </m:r>
      </m:oMath>
      <w:r>
        <w:rPr>
          <w:rFonts w:hint="eastAsia" w:hAnsi="Cambria Math"/>
          <w:i w:val="0"/>
          <w:lang w:val="en-US" w:eastAsia="zh-CN"/>
        </w:rPr>
        <w:t>分别代表重建输出的和原令牌的RGB（Red, Green, Blue）值。</w:t>
      </w:r>
    </w:p>
    <w:p w14:paraId="68B11F68">
      <w:pPr>
        <w:spacing w:before="120" w:beforeLines="0"/>
        <w:ind w:firstLine="420" w:firstLineChars="0"/>
        <w:rPr>
          <w:rFonts w:hint="eastAsia" w:hAnsi="Cambria Math"/>
          <w:i w:val="0"/>
          <w:lang w:val="en-US" w:eastAsia="zh-CN"/>
        </w:rPr>
      </w:pPr>
      <w:r>
        <w:rPr>
          <w:rFonts w:hint="eastAsia" w:hAnsi="Cambria Math"/>
          <w:i w:val="0"/>
          <w:lang w:val="en-US" w:eastAsia="zh-CN"/>
        </w:rPr>
        <w:t>然后我们也要训练遮掩得分网络，我们计算采样损失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lang w:val="en-US" w:eastAsia="zh-CN"/>
        </w:rPr>
        <w:t>来更新遮掩得分网络的权重。损失公式如下：</w:t>
      </w:r>
    </w:p>
    <w:p w14:paraId="5C96A11C">
      <w:pPr>
        <w:spacing w:before="120" w:beforeLines="0"/>
        <w:ind w:firstLine="420" w:firstLineChars="0"/>
        <w:rPr>
          <w:rFonts w:hint="default" w:hAnsi="Cambria Math"/>
          <w:i w:val="0"/>
          <w:szCs w:val="21"/>
          <w:lang w:val="en-US" w:eastAsia="zh-CN"/>
        </w:rPr>
      </w:pPr>
      <m:oMathPara>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r>
            <m:rPr>
              <m:sty m:val="p"/>
            </m:rPr>
            <w:rPr>
              <w:rFonts w:hint="default" w:ascii="Cambria Math" w:hAnsi="Cambria Math"/>
              <w:szCs w:val="21"/>
              <w:lang w:val="en-US" w:eastAsia="zh-CN"/>
            </w:rPr>
            <m:t>=−</m:t>
          </m:r>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N</m:t>
              </m:r>
              <m:ctrlPr>
                <w:rPr>
                  <w:rFonts w:hint="default" w:ascii="Cambria Math" w:hAnsi="Cambria Math"/>
                  <w:szCs w:val="21"/>
                  <w:lang w:val="en-US" w:eastAsia="zh-CN"/>
                </w:rPr>
              </m:ctrlPr>
            </m:sub>
            <m:sup>
              <m:ctrlPr>
                <w:rPr>
                  <w:rFonts w:hint="default" w:ascii="Cambria Math" w:hAnsi="Cambria Math"/>
                  <w:szCs w:val="21"/>
                  <w:lang w:val="en-US" w:eastAsia="zh-CN"/>
                </w:rPr>
              </m:ctrlPr>
            </m:sup>
            <m:e>
              <m:r>
                <m:rPr>
                  <m:sty m:val="p"/>
                </m:rPr>
                <w:rPr>
                  <w:rFonts w:hint="default" w:ascii="Cambria Math" w:hAnsi="Cambria Math"/>
                  <w:szCs w:val="21"/>
                  <w:lang w:val="en-US" w:eastAsia="zh-CN"/>
                </w:rPr>
                <m:t>(</m:t>
              </m:r>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log(</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r>
            <m:rPr>
              <m:sty m:val="p"/>
            </m:rPr>
            <w:rPr>
              <w:rFonts w:hint="default" w:ascii="Cambria Math" w:hAnsi="Cambria Math"/>
              <w:szCs w:val="21"/>
              <w:lang w:val="en-US" w:eastAsia="zh-CN"/>
            </w:rPr>
            <m:t>)</m:t>
          </m:r>
        </m:oMath>
      </m:oMathPara>
    </w:p>
    <w:p w14:paraId="166502DB">
      <w:pPr>
        <w:spacing w:before="120" w:beforeLines="0"/>
        <w:ind w:firstLine="420" w:firstLineChars="0"/>
        <w:rPr>
          <w:rFonts w:hint="eastAsia" w:hAnsi="Cambria Math"/>
          <w:i w:val="0"/>
          <w:lang w:val="en-US" w:eastAsia="zh-CN"/>
        </w:rPr>
      </w:pPr>
      <w:r>
        <w:rPr>
          <w:rFonts w:hint="eastAsia" w:hAnsi="Cambria Math"/>
          <w:i w:val="0"/>
          <w:lang w:val="en-US" w:eastAsia="zh-CN"/>
        </w:rPr>
        <w:t>这种公式的制定是由RL中REINFORCE算法的预期奖励最大化激发的。这里，可见令牌采样过程是动作，MAE通过给定输入数据和掩蔽部分来反馈模型的行为，就像强化学习中的环境提供反馈，而掩码令牌重构误差是返回。在图像中，不同的区域含有不同的“信息量”。例如，图像的某些区域可能包含更多的结构化信息（如物体的轮廓、颜色变化等），而其他区域可能是背景区域，包含的信息较少。在MAE中，高信息区域（例如物体、边缘等）通常比低信息背景区域对重构更为关键，它们的重构误差通常较高。因此，最大化期望重构误差将导致网络预测高信息区域的概率得分较高。</w:t>
      </w:r>
    </w:p>
    <w:p w14:paraId="23801867">
      <w:pPr>
        <w:spacing w:before="120" w:beforeLines="0"/>
        <w:ind w:firstLine="420" w:firstLineChars="0"/>
        <w:rPr>
          <w:rFonts w:hint="eastAsia" w:hAnsi="Cambria Math"/>
          <w:i w:val="0"/>
          <w:szCs w:val="21"/>
          <w:lang w:val="en-US" w:eastAsia="zh-CN"/>
        </w:rPr>
      </w:pPr>
      <w:r>
        <w:rPr>
          <w:rFonts w:hint="eastAsia" w:hAnsi="Cambria Math"/>
          <w:i w:val="0"/>
          <w:lang w:val="en-US" w:eastAsia="zh-CN"/>
        </w:rPr>
        <w:t>步骤4：</w:t>
      </w:r>
      <w:r>
        <w:rPr>
          <w:rFonts w:hint="eastAsia" w:hAnsi="Cambria Math"/>
          <w:i w:val="0"/>
          <w:szCs w:val="21"/>
          <w:lang w:val="en-US" w:eastAsia="zh-CN"/>
        </w:rPr>
        <w:t>微调编码器、分类头</w:t>
      </w:r>
    </w:p>
    <w:p w14:paraId="221BA6DE">
      <w:pPr>
        <w:spacing w:before="120" w:beforeLines="0"/>
        <w:ind w:firstLine="420" w:firstLineChars="0"/>
        <w:rPr>
          <w:rFonts w:hint="default" w:hAnsi="Cambria Math"/>
          <w:i w:val="0"/>
          <w:lang w:val="en-US" w:eastAsia="zh-CN"/>
        </w:rPr>
      </w:pPr>
      <w:r>
        <w:rPr>
          <w:rFonts w:hint="eastAsia" w:hAnsi="Cambria Math"/>
          <w:i w:val="0"/>
          <w:lang w:val="en-US" w:eastAsia="zh-CN"/>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对于单个Clip，我们还是通过遮掩得分网络生成遮掩得分，然后我们将前10%得分的令牌作为额外提示添加到经过嵌入的令牌队伍中。再输入编码器中，输出了特征之后我们通过分类头输出分类结果。然后利用重建损失更新分类头和编码器。</w:t>
      </w:r>
    </w:p>
    <w:p w14:paraId="29C91CEB">
      <w:pPr>
        <w:spacing w:before="0" w:beforeLines="0"/>
        <w:ind w:firstLine="0" w:firstLineChars="0"/>
        <w:jc w:val="left"/>
        <w:rPr>
          <w:b/>
          <w:bCs/>
        </w:rPr>
      </w:pPr>
      <w:r>
        <w:rPr>
          <w:rFonts w:hint="eastAsia"/>
          <w:b/>
          <w:bCs/>
        </w:rPr>
        <w:t>附图说明</w:t>
      </w:r>
    </w:p>
    <w:p w14:paraId="259AED72">
      <w:pPr>
        <w:spacing w:before="0" w:beforeLines="0"/>
        <w:rPr>
          <w:rFonts w:hint="eastAsia"/>
        </w:rPr>
      </w:pPr>
      <w:r>
        <w:rPr>
          <w:rFonts w:hint="eastAsia"/>
          <w:lang w:val="en-US" w:eastAsia="zh-CN"/>
        </w:rPr>
        <w:t>图1 本发明</w:t>
      </w:r>
      <w:r>
        <w:rPr>
          <w:rFonts w:hint="eastAsia"/>
        </w:rPr>
        <w:t>整体框架流程图</w:t>
      </w:r>
    </w:p>
    <w:p w14:paraId="01D5E2F8">
      <w:pPr>
        <w:spacing w:before="0" w:beforeLines="0"/>
        <w:rPr>
          <w:rFonts w:hint="default"/>
          <w:lang w:val="en-US" w:eastAsia="zh-CN"/>
        </w:rPr>
      </w:pPr>
      <w:r>
        <w:rPr>
          <w:rFonts w:hint="eastAsia"/>
          <w:lang w:val="en-US" w:eastAsia="zh-CN"/>
        </w:rPr>
        <w:t>图2 遮掩得分网络具体流程图</w:t>
      </w:r>
    </w:p>
    <w:p w14:paraId="62C5C6BE">
      <w:pPr>
        <w:spacing w:before="0" w:beforeLines="0"/>
        <w:ind w:left="0" w:leftChars="0" w:firstLine="0" w:firstLineChars="0"/>
        <w:rPr>
          <w:rFonts w:hint="eastAsia"/>
          <w:b/>
          <w:bCs/>
        </w:rPr>
      </w:pPr>
      <w:r>
        <w:rPr>
          <w:rFonts w:hint="eastAsia"/>
          <w:b/>
          <w:bCs/>
          <w:szCs w:val="21"/>
        </w:rPr>
        <w:t>应用</w:t>
      </w:r>
      <w:r>
        <w:rPr>
          <w:rFonts w:hint="eastAsia"/>
          <w:b/>
          <w:bCs/>
        </w:rPr>
        <w:t>实施例</w:t>
      </w:r>
    </w:p>
    <w:p w14:paraId="2115E26A">
      <w:pPr>
        <w:spacing w:before="0" w:beforeLines="0"/>
        <w:ind w:firstLine="420"/>
        <w:rPr>
          <w:rFonts w:hint="eastAsia"/>
        </w:rPr>
      </w:pPr>
      <w:r>
        <w:rPr>
          <w:rFonts w:hint="eastAsia"/>
        </w:rPr>
        <w:t>数据集：</w:t>
      </w:r>
    </w:p>
    <w:p w14:paraId="68935231">
      <w:pPr>
        <w:spacing w:before="0" w:beforeLines="0"/>
        <w:ind w:firstLine="420"/>
        <w:rPr>
          <w:rFonts w:hint="eastAsia"/>
          <w:lang w:val="en-US" w:eastAsia="zh-CN"/>
        </w:rPr>
      </w:pPr>
      <w:r>
        <w:rPr>
          <w:rFonts w:hint="eastAsia"/>
          <w:lang w:val="en-US" w:eastAsia="zh-CN"/>
        </w:rPr>
        <w:t>实验在上海第十人民医院的数据集上进行训练和验证，数据统计如下：</w:t>
      </w:r>
    </w:p>
    <w:tbl>
      <w:tblPr>
        <w:tblStyle w:val="10"/>
        <w:tblW w:w="6119" w:type="dxa"/>
        <w:jc w:val="center"/>
        <w:tblLayout w:type="fixed"/>
        <w:tblCellMar>
          <w:top w:w="0" w:type="dxa"/>
          <w:left w:w="108" w:type="dxa"/>
          <w:bottom w:w="0" w:type="dxa"/>
          <w:right w:w="108" w:type="dxa"/>
        </w:tblCellMar>
      </w:tblPr>
      <w:tblGrid>
        <w:gridCol w:w="2521"/>
        <w:gridCol w:w="1727"/>
        <w:gridCol w:w="1871"/>
      </w:tblGrid>
      <w:tr w14:paraId="04FE1E37">
        <w:trPr>
          <w:trHeight w:val="798" w:hRule="atLeast"/>
          <w:jc w:val="center"/>
        </w:trPr>
        <w:tc>
          <w:tcPr>
            <w:tcW w:w="2521" w:type="dxa"/>
            <w:tcBorders>
              <w:top w:val="single" w:color="auto" w:sz="4" w:space="0"/>
              <w:bottom w:val="single" w:color="auto" w:sz="4" w:space="0"/>
            </w:tcBorders>
            <w:noWrap/>
            <w:vAlign w:val="center"/>
          </w:tcPr>
          <w:p w14:paraId="4278A2E9">
            <w:pPr>
              <w:widowControl/>
              <w:ind w:left="0" w:leftChars="0" w:firstLine="0" w:firstLineChars="0"/>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eastAsia="宋体" w:cs="Times New Roman Regular"/>
                <w:kern w:val="0"/>
                <w:sz w:val="18"/>
                <w:szCs w:val="18"/>
                <w:lang w:val="en-US" w:eastAsia="zh-CN"/>
              </w:rPr>
              <w:t>数据</w:t>
            </w:r>
          </w:p>
        </w:tc>
        <w:tc>
          <w:tcPr>
            <w:tcW w:w="1727" w:type="dxa"/>
            <w:tcBorders>
              <w:top w:val="single" w:color="auto" w:sz="4" w:space="0"/>
              <w:bottom w:val="single" w:color="auto" w:sz="4" w:space="0"/>
            </w:tcBorders>
            <w:noWrap/>
            <w:vAlign w:val="center"/>
          </w:tcPr>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上海第十人民医院（训练）</w:t>
            </w:r>
          </w:p>
        </w:tc>
        <w:tc>
          <w:tcPr>
            <w:tcW w:w="1871" w:type="dxa"/>
            <w:tcBorders>
              <w:top w:val="single" w:color="auto" w:sz="4" w:space="0"/>
              <w:bottom w:val="single" w:color="auto" w:sz="4" w:space="0"/>
            </w:tcBorders>
            <w:noWrap/>
            <w:vAlign w:val="center"/>
          </w:tcPr>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上海第十人民医院（验证）</w:t>
            </w:r>
          </w:p>
        </w:tc>
      </w:tr>
      <w:tr w14:paraId="3571498A">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7CC2ECDB">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病例数量</w:t>
            </w:r>
          </w:p>
        </w:tc>
        <w:tc>
          <w:tcPr>
            <w:tcW w:w="1727"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7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r>
      <w:tr w14:paraId="70F858EE">
        <w:tblPrEx>
          <w:tblCellMar>
            <w:top w:w="0" w:type="dxa"/>
            <w:left w:w="108" w:type="dxa"/>
            <w:bottom w:w="0" w:type="dxa"/>
            <w:right w:w="108" w:type="dxa"/>
          </w:tblCellMar>
        </w:tblPrEx>
        <w:trPr>
          <w:trHeight w:val="285" w:hRule="atLeast"/>
          <w:jc w:val="center"/>
        </w:trPr>
        <w:tc>
          <w:tcPr>
            <w:tcW w:w="2521"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癌症初期（T0期）数量</w:t>
            </w:r>
          </w:p>
        </w:tc>
        <w:tc>
          <w:tcPr>
            <w:tcW w:w="1727"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7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r>
      <w:tr w14:paraId="15540B81">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kern w:val="0"/>
                <w:sz w:val="18"/>
                <w:szCs w:val="18"/>
                <w:lang w:val="en-US"/>
              </w:rPr>
            </w:pPr>
            <w:r>
              <w:rPr>
                <w:rFonts w:hint="eastAsia" w:ascii="Times New Roman Regular" w:hAnsi="Times New Roman Regular" w:eastAsia="宋体" w:cs="Times New Roman Regular"/>
                <w:kern w:val="0"/>
                <w:sz w:val="18"/>
                <w:szCs w:val="18"/>
                <w:lang w:val="en-US" w:eastAsia="zh-CN"/>
              </w:rPr>
              <w:t>癌症晚期（T1期）数量</w:t>
            </w:r>
          </w:p>
        </w:tc>
        <w:tc>
          <w:tcPr>
            <w:tcW w:w="1727"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7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0F55DCA9">
      <w:pPr>
        <w:spacing w:before="0" w:beforeLines="0"/>
        <w:ind w:firstLine="420"/>
        <w:rPr>
          <w:rFonts w:hint="default"/>
          <w:lang w:val="en-US" w:eastAsia="zh-CN"/>
        </w:rPr>
      </w:pPr>
    </w:p>
    <w:p w14:paraId="377D8BE9">
      <w:pPr>
        <w:spacing w:before="0" w:beforeLines="0"/>
        <w:ind w:firstLine="420"/>
      </w:pPr>
      <w:r>
        <w:rPr>
          <w:rFonts w:hint="eastAsia"/>
        </w:rPr>
        <w:t>方法应用：</w:t>
      </w:r>
    </w:p>
    <w:p w14:paraId="293E16CB">
      <w:pPr>
        <w:rPr>
          <w:rFonts w:hint="eastAsia"/>
          <w:lang w:val="en-US" w:eastAsia="zh-CN"/>
        </w:rPr>
      </w:pPr>
      <w:r>
        <w:rPr>
          <w:rFonts w:hint="eastAsia"/>
          <w:vertAlign w:val="baseline"/>
          <w:lang w:val="en-US" w:eastAsia="zh-CN"/>
        </w:rPr>
        <w:t>本实验</w:t>
      </w:r>
      <w:r>
        <w:rPr>
          <w:rFonts w:hint="eastAsia"/>
        </w:rPr>
        <w:t>将训练批次大小（Batch</w:t>
      </w:r>
      <w:r>
        <w:t xml:space="preserve"> Size</w:t>
      </w:r>
      <w:r>
        <w:rPr>
          <w:rFonts w:hint="eastAsia"/>
        </w:rPr>
        <w:t xml:space="preserve">）设置为 </w:t>
      </w:r>
      <w:r>
        <w:rPr>
          <w:rFonts w:hint="eastAsia"/>
          <w:lang w:val="en-US" w:eastAsia="zh-CN"/>
        </w:rPr>
        <w:t>4，整个过程中在两块RTX 3090显卡上训练。对于我们的工作，我们使用AdamW优化器，在1e-3的学习率下预训练500个轮次来最小化重建损失和采样损失。随后我们在4e-4的学习率下微调300轮次最小化交叉熵损失。</w:t>
      </w:r>
    </w:p>
    <w:p w14:paraId="08648C0E">
      <w:pPr>
        <w:rPr>
          <w:rFonts w:hint="eastAsia"/>
          <w:lang w:val="en-US" w:eastAsia="zh-CN"/>
        </w:rPr>
      </w:pPr>
      <w:r>
        <w:rPr>
          <w:rFonts w:hint="eastAsia"/>
          <w:lang w:val="en-US" w:eastAsia="zh-CN"/>
        </w:rPr>
        <w:t>效果对比</w:t>
      </w:r>
    </w:p>
    <w:p w14:paraId="14C97406">
      <w:pPr>
        <w:rPr>
          <w:rFonts w:hint="default"/>
          <w:lang w:val="en-US" w:eastAsia="zh-CN"/>
        </w:rPr>
      </w:pPr>
      <w:r>
        <w:rPr>
          <w:rFonts w:hint="eastAsia"/>
          <w:lang w:val="en-US" w:eastAsia="zh-CN"/>
        </w:rPr>
        <w:t>在实验效果对比上，由于医学场景和任务的特殊性，我们将效果对比在工作的消融中。针对遮掩方式进行对比实验。如下是实验表格：</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2AE23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08D245C">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掩码策略</w:t>
            </w:r>
          </w:p>
        </w:tc>
        <w:tc>
          <w:tcPr>
            <w:tcW w:w="1668" w:type="dxa"/>
            <w:noWrap w:val="0"/>
            <w:vAlign w:val="top"/>
          </w:tcPr>
          <w:p w14:paraId="5A2C0E46">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ACC</w:t>
            </w:r>
          </w:p>
        </w:tc>
        <w:tc>
          <w:tcPr>
            <w:tcW w:w="1733" w:type="dxa"/>
            <w:noWrap w:val="0"/>
            <w:vAlign w:val="top"/>
          </w:tcPr>
          <w:p w14:paraId="624AC51A">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AUC</w:t>
            </w:r>
          </w:p>
        </w:tc>
      </w:tr>
      <w:tr w14:paraId="12589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0B69619C">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随机掩码</w:t>
            </w:r>
          </w:p>
        </w:tc>
        <w:tc>
          <w:tcPr>
            <w:tcW w:w="1668" w:type="dxa"/>
            <w:noWrap w:val="0"/>
            <w:vAlign w:val="top"/>
          </w:tcPr>
          <w:p w14:paraId="5E255B2B">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0.8207</w:t>
            </w:r>
          </w:p>
        </w:tc>
        <w:tc>
          <w:tcPr>
            <w:tcW w:w="1733" w:type="dxa"/>
            <w:noWrap w:val="0"/>
            <w:vAlign w:val="top"/>
          </w:tcPr>
          <w:p w14:paraId="12FDA427">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0.875</w:t>
            </w:r>
          </w:p>
        </w:tc>
      </w:tr>
      <w:tr w14:paraId="2286C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7442C21E">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分割引导掩码（OURS）</w:t>
            </w:r>
          </w:p>
        </w:tc>
        <w:tc>
          <w:tcPr>
            <w:tcW w:w="1668" w:type="dxa"/>
            <w:noWrap w:val="0"/>
            <w:vAlign w:val="top"/>
          </w:tcPr>
          <w:p w14:paraId="69B4F862">
            <w:pPr>
              <w:ind w:left="0" w:leftChars="0" w:firstLine="0" w:firstLineChars="0"/>
              <w:jc w:val="center"/>
              <w:rPr>
                <w:rFonts w:hint="default"/>
                <w:b w:val="0"/>
                <w:bCs w:val="0"/>
                <w:kern w:val="2"/>
                <w:sz w:val="24"/>
                <w:szCs w:val="24"/>
                <w:vertAlign w:val="baseline"/>
                <w:lang w:val="en-US" w:eastAsia="zh-CN"/>
              </w:rPr>
            </w:pPr>
            <w:r>
              <w:rPr>
                <w:rFonts w:hint="eastAsia"/>
                <w:b/>
                <w:bCs/>
                <w:kern w:val="2"/>
                <w:sz w:val="24"/>
                <w:szCs w:val="24"/>
                <w:vertAlign w:val="baseline"/>
                <w:lang w:val="en-US" w:eastAsia="zh-CN"/>
              </w:rPr>
              <w:t>0.9136</w:t>
            </w:r>
          </w:p>
        </w:tc>
        <w:tc>
          <w:tcPr>
            <w:tcW w:w="1733" w:type="dxa"/>
            <w:noWrap w:val="0"/>
            <w:vAlign w:val="top"/>
          </w:tcPr>
          <w:p w14:paraId="7E172748">
            <w:pPr>
              <w:ind w:left="0" w:leftChars="0" w:firstLine="0" w:firstLineChars="0"/>
              <w:jc w:val="center"/>
              <w:rPr>
                <w:rFonts w:hint="default"/>
                <w:b w:val="0"/>
                <w:bCs w:val="0"/>
                <w:kern w:val="2"/>
                <w:sz w:val="24"/>
                <w:szCs w:val="24"/>
                <w:vertAlign w:val="baseline"/>
                <w:lang w:val="en-US" w:eastAsia="zh-CN"/>
              </w:rPr>
            </w:pPr>
            <w:r>
              <w:rPr>
                <w:rFonts w:hint="eastAsia"/>
                <w:b/>
                <w:bCs/>
                <w:kern w:val="2"/>
                <w:sz w:val="24"/>
                <w:szCs w:val="24"/>
                <w:vertAlign w:val="baseline"/>
                <w:lang w:val="en-US" w:eastAsia="zh-CN"/>
              </w:rPr>
              <w:t>0.963</w:t>
            </w:r>
          </w:p>
        </w:tc>
      </w:tr>
    </w:tbl>
    <w:p w14:paraId="078BCEA6">
      <w:pPr>
        <w:rPr>
          <w:rFonts w:hint="default"/>
          <w:lang w:val="en-US" w:eastAsia="zh-CN"/>
        </w:rPr>
      </w:pPr>
      <w:r>
        <w:rPr>
          <w:rFonts w:hint="eastAsia"/>
          <w:lang w:val="en-US" w:eastAsia="zh-CN"/>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所示：</w:t>
      </w:r>
    </w:p>
    <w:p w14:paraId="7320D8DC">
      <w:pPr>
        <w:rPr>
          <w:rFonts w:hint="default"/>
          <w:lang w:val="en-US" w:eastAsia="zh-CN"/>
        </w:rPr>
      </w:pPr>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20FAC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noWrap w:val="0"/>
            <w:vAlign w:val="top"/>
          </w:tcPr>
          <w:p w14:paraId="1A898CBD">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组别</w:t>
            </w:r>
          </w:p>
        </w:tc>
        <w:tc>
          <w:tcPr>
            <w:tcW w:w="1803" w:type="dxa"/>
            <w:noWrap w:val="0"/>
            <w:vAlign w:val="top"/>
          </w:tcPr>
          <w:p w14:paraId="59D1C001">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方法</w:t>
            </w:r>
          </w:p>
        </w:tc>
        <w:tc>
          <w:tcPr>
            <w:tcW w:w="1677" w:type="dxa"/>
            <w:noWrap w:val="0"/>
            <w:vAlign w:val="top"/>
          </w:tcPr>
          <w:p w14:paraId="469ACE7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主干</w:t>
            </w:r>
          </w:p>
        </w:tc>
        <w:tc>
          <w:tcPr>
            <w:tcW w:w="1674" w:type="dxa"/>
            <w:noWrap w:val="0"/>
            <w:vAlign w:val="top"/>
          </w:tcPr>
          <w:p w14:paraId="2487B0C9">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kern w:val="2"/>
                <w:sz w:val="24"/>
                <w:szCs w:val="24"/>
                <w:vertAlign w:val="baseline"/>
                <w:lang w:val="en-US" w:eastAsia="zh-CN"/>
              </w:rPr>
              <w:t>ACC</w:t>
            </w:r>
          </w:p>
        </w:tc>
        <w:tc>
          <w:tcPr>
            <w:tcW w:w="1674" w:type="dxa"/>
            <w:noWrap w:val="0"/>
            <w:vAlign w:val="top"/>
          </w:tcPr>
          <w:p w14:paraId="5939DEE0">
            <w:pPr>
              <w:ind w:left="0" w:leftChars="0" w:firstLine="0" w:firstLineChars="0"/>
              <w:jc w:val="center"/>
              <w:rPr>
                <w:rFonts w:hint="eastAsia"/>
                <w:b w:val="0"/>
                <w:bCs w:val="0"/>
                <w:kern w:val="2"/>
                <w:sz w:val="24"/>
                <w:szCs w:val="24"/>
                <w:vertAlign w:val="baseline"/>
                <w:lang w:val="en-US" w:eastAsia="zh-CN"/>
              </w:rPr>
            </w:pPr>
            <w:r>
              <w:rPr>
                <w:rFonts w:hint="eastAsia"/>
                <w:b w:val="0"/>
                <w:bCs w:val="0"/>
                <w:kern w:val="2"/>
                <w:sz w:val="24"/>
                <w:szCs w:val="24"/>
                <w:vertAlign w:val="baseline"/>
                <w:lang w:val="en-US" w:eastAsia="zh-CN"/>
              </w:rPr>
              <w:t>AUC</w:t>
            </w:r>
          </w:p>
        </w:tc>
      </w:tr>
      <w:tr w14:paraId="6FEF4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4EA43018">
            <w:pPr>
              <w:jc w:val="center"/>
              <w:rPr>
                <w:rFonts w:hint="default"/>
                <w:b w:val="0"/>
                <w:bCs w:val="0"/>
                <w:kern w:val="2"/>
                <w:sz w:val="24"/>
                <w:szCs w:val="24"/>
                <w:vertAlign w:val="baseline"/>
                <w:lang w:val="en-US" w:eastAsia="zh-CN"/>
              </w:rPr>
            </w:pPr>
          </w:p>
          <w:p w14:paraId="0BD32276">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kern w:val="2"/>
                <w:sz w:val="24"/>
                <w:szCs w:val="24"/>
                <w:vertAlign w:val="baseline"/>
                <w:lang w:val="en-US" w:eastAsia="zh-CN"/>
              </w:rPr>
              <w:t>基于图片</w:t>
            </w:r>
          </w:p>
        </w:tc>
        <w:tc>
          <w:tcPr>
            <w:tcW w:w="1803" w:type="dxa"/>
            <w:noWrap w:val="0"/>
            <w:vAlign w:val="top"/>
          </w:tcPr>
          <w:p w14:paraId="60CA8A07">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ResNet50</w:t>
            </w:r>
          </w:p>
        </w:tc>
        <w:tc>
          <w:tcPr>
            <w:tcW w:w="1677" w:type="dxa"/>
            <w:vMerge w:val="restart"/>
            <w:noWrap w:val="0"/>
            <w:vAlign w:val="top"/>
          </w:tcPr>
          <w:p w14:paraId="23E981AA">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CNN</w:t>
            </w:r>
          </w:p>
          <w:p w14:paraId="050F3F78">
            <w:pPr>
              <w:bidi w:val="0"/>
              <w:ind w:left="0" w:leftChars="0" w:firstLine="0" w:firstLineChars="0"/>
              <w:jc w:val="center"/>
              <w:rPr>
                <w:rFonts w:hint="default" w:ascii="Times New Roman" w:hAnsi="Times New Roman" w:eastAsia="宋体" w:cs="Times New Roman"/>
                <w:kern w:val="2"/>
                <w:sz w:val="24"/>
                <w:szCs w:val="24"/>
                <w:lang w:val="en-US" w:eastAsia="zh-CN" w:bidi="ar-SA"/>
              </w:rPr>
            </w:pPr>
          </w:p>
        </w:tc>
        <w:tc>
          <w:tcPr>
            <w:tcW w:w="1674" w:type="dxa"/>
            <w:noWrap w:val="0"/>
            <w:vAlign w:val="top"/>
          </w:tcPr>
          <w:p w14:paraId="0B2CD767">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0.726</w:t>
            </w:r>
          </w:p>
        </w:tc>
        <w:tc>
          <w:tcPr>
            <w:tcW w:w="1674" w:type="dxa"/>
            <w:noWrap w:val="0"/>
            <w:vAlign w:val="top"/>
          </w:tcPr>
          <w:p w14:paraId="70F0C1F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0.739</w:t>
            </w:r>
          </w:p>
        </w:tc>
      </w:tr>
      <w:tr w14:paraId="2A19C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247DBBE1">
            <w:pPr>
              <w:jc w:val="center"/>
              <w:rPr>
                <w:rFonts w:hint="default"/>
                <w:b w:val="0"/>
                <w:bCs w:val="0"/>
                <w:kern w:val="2"/>
                <w:sz w:val="24"/>
                <w:szCs w:val="24"/>
                <w:vertAlign w:val="baseline"/>
                <w:lang w:val="en-US" w:eastAsia="zh-CN"/>
              </w:rPr>
            </w:pPr>
          </w:p>
        </w:tc>
        <w:tc>
          <w:tcPr>
            <w:tcW w:w="1803" w:type="dxa"/>
            <w:noWrap w:val="0"/>
            <w:vAlign w:val="top"/>
          </w:tcPr>
          <w:p w14:paraId="1C88043F">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US_UCL</w:t>
            </w:r>
          </w:p>
        </w:tc>
        <w:tc>
          <w:tcPr>
            <w:tcW w:w="1677" w:type="dxa"/>
            <w:vMerge w:val="continue"/>
            <w:noWrap w:val="0"/>
            <w:vAlign w:val="top"/>
          </w:tcPr>
          <w:p w14:paraId="14FCA8E1">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08E5888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0.609</w:t>
            </w:r>
          </w:p>
        </w:tc>
        <w:tc>
          <w:tcPr>
            <w:tcW w:w="1674" w:type="dxa"/>
            <w:noWrap w:val="0"/>
            <w:vAlign w:val="top"/>
          </w:tcPr>
          <w:p w14:paraId="3E9DD52E">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0.713</w:t>
            </w:r>
          </w:p>
        </w:tc>
      </w:tr>
      <w:tr w14:paraId="4E8E8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4233ADE2">
            <w:pPr>
              <w:jc w:val="center"/>
              <w:rPr>
                <w:rFonts w:hint="default"/>
                <w:b w:val="0"/>
                <w:bCs w:val="0"/>
                <w:kern w:val="2"/>
                <w:sz w:val="24"/>
                <w:szCs w:val="24"/>
                <w:vertAlign w:val="baseline"/>
                <w:lang w:val="en-US" w:eastAsia="zh-CN"/>
              </w:rPr>
            </w:pPr>
          </w:p>
        </w:tc>
        <w:tc>
          <w:tcPr>
            <w:tcW w:w="1803" w:type="dxa"/>
            <w:noWrap w:val="0"/>
            <w:vAlign w:val="top"/>
          </w:tcPr>
          <w:p w14:paraId="1266807D">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RadFormer</w:t>
            </w:r>
          </w:p>
        </w:tc>
        <w:tc>
          <w:tcPr>
            <w:tcW w:w="1677" w:type="dxa"/>
            <w:vMerge w:val="restart"/>
            <w:noWrap w:val="0"/>
            <w:vAlign w:val="top"/>
          </w:tcPr>
          <w:p w14:paraId="2F989C5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7A7E5CF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0.717</w:t>
            </w:r>
          </w:p>
        </w:tc>
        <w:tc>
          <w:tcPr>
            <w:tcW w:w="1674" w:type="dxa"/>
            <w:noWrap w:val="0"/>
            <w:vAlign w:val="top"/>
          </w:tcPr>
          <w:p w14:paraId="67B59D27">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0.758</w:t>
            </w:r>
          </w:p>
        </w:tc>
      </w:tr>
      <w:tr w14:paraId="28C6B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232B390E">
            <w:pPr>
              <w:jc w:val="center"/>
              <w:rPr>
                <w:rFonts w:hint="default"/>
                <w:b w:val="0"/>
                <w:bCs w:val="0"/>
                <w:kern w:val="2"/>
                <w:sz w:val="24"/>
                <w:szCs w:val="24"/>
                <w:vertAlign w:val="baseline"/>
                <w:lang w:val="en-US" w:eastAsia="zh-CN"/>
              </w:rPr>
            </w:pPr>
          </w:p>
        </w:tc>
        <w:tc>
          <w:tcPr>
            <w:tcW w:w="1803" w:type="dxa"/>
            <w:noWrap w:val="0"/>
            <w:vAlign w:val="top"/>
          </w:tcPr>
          <w:p w14:paraId="3FB15193">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PVTv2(SOTA)</w:t>
            </w:r>
          </w:p>
        </w:tc>
        <w:tc>
          <w:tcPr>
            <w:tcW w:w="1677" w:type="dxa"/>
            <w:vMerge w:val="continue"/>
            <w:noWrap w:val="0"/>
            <w:vAlign w:val="top"/>
          </w:tcPr>
          <w:p w14:paraId="18340DF0">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746F9A6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0.783</w:t>
            </w:r>
          </w:p>
        </w:tc>
        <w:tc>
          <w:tcPr>
            <w:tcW w:w="1674" w:type="dxa"/>
            <w:noWrap w:val="0"/>
            <w:vAlign w:val="top"/>
          </w:tcPr>
          <w:p w14:paraId="7619EF9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0.829</w:t>
            </w:r>
          </w:p>
        </w:tc>
      </w:tr>
      <w:tr w14:paraId="00F48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1E9403A3">
            <w:pPr>
              <w:ind w:left="0" w:leftChars="0" w:firstLine="0" w:firstLineChars="0"/>
              <w:jc w:val="center"/>
              <w:rPr>
                <w:rFonts w:hint="default"/>
                <w:b w:val="0"/>
                <w:bCs w:val="0"/>
                <w:kern w:val="2"/>
                <w:sz w:val="24"/>
                <w:szCs w:val="24"/>
                <w:vertAlign w:val="baseline"/>
                <w:lang w:val="en-US" w:eastAsia="zh-CN"/>
              </w:rPr>
            </w:pPr>
          </w:p>
          <w:p w14:paraId="041FE6C3">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基于视频</w:t>
            </w:r>
          </w:p>
        </w:tc>
        <w:tc>
          <w:tcPr>
            <w:tcW w:w="1803" w:type="dxa"/>
            <w:noWrap w:val="0"/>
            <w:vAlign w:val="top"/>
          </w:tcPr>
          <w:p w14:paraId="16883E22">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VideoMAEv2</w:t>
            </w:r>
          </w:p>
        </w:tc>
        <w:tc>
          <w:tcPr>
            <w:tcW w:w="1677" w:type="dxa"/>
            <w:vMerge w:val="restart"/>
            <w:noWrap w:val="0"/>
            <w:vAlign w:val="top"/>
          </w:tcPr>
          <w:p w14:paraId="62E48CBB">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p w14:paraId="29D3A26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1827C39A">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kern w:val="2"/>
                <w:sz w:val="24"/>
                <w:szCs w:val="24"/>
                <w:vertAlign w:val="baseline"/>
                <w:lang w:val="en-US" w:eastAsia="zh-CN"/>
              </w:rPr>
              <w:t>0.904</w:t>
            </w:r>
          </w:p>
        </w:tc>
        <w:tc>
          <w:tcPr>
            <w:tcW w:w="1674" w:type="dxa"/>
            <w:noWrap w:val="0"/>
            <w:vAlign w:val="top"/>
          </w:tcPr>
          <w:p w14:paraId="37FC8A9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kern w:val="2"/>
                <w:sz w:val="24"/>
                <w:szCs w:val="24"/>
                <w:vertAlign w:val="baseline"/>
                <w:lang w:val="en-US" w:eastAsia="zh-CN"/>
              </w:rPr>
              <w:t>0.942</w:t>
            </w:r>
          </w:p>
        </w:tc>
      </w:tr>
      <w:tr w14:paraId="2FDD6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noWrap w:val="0"/>
            <w:vAlign w:val="top"/>
          </w:tcPr>
          <w:p w14:paraId="0325144E">
            <w:pPr>
              <w:jc w:val="center"/>
              <w:rPr>
                <w:rFonts w:hint="default"/>
                <w:b w:val="0"/>
                <w:bCs w:val="0"/>
                <w:kern w:val="2"/>
                <w:sz w:val="24"/>
                <w:szCs w:val="24"/>
                <w:vertAlign w:val="baseline"/>
                <w:lang w:val="en-US" w:eastAsia="zh-CN"/>
              </w:rPr>
            </w:pPr>
          </w:p>
        </w:tc>
        <w:tc>
          <w:tcPr>
            <w:tcW w:w="1803" w:type="dxa"/>
            <w:noWrap w:val="0"/>
            <w:vAlign w:val="top"/>
          </w:tcPr>
          <w:p w14:paraId="0C7BF709">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m2clip(SOTA)</w:t>
            </w:r>
          </w:p>
        </w:tc>
        <w:tc>
          <w:tcPr>
            <w:tcW w:w="1677" w:type="dxa"/>
            <w:vMerge w:val="continue"/>
            <w:noWrap w:val="0"/>
            <w:vAlign w:val="top"/>
          </w:tcPr>
          <w:p w14:paraId="3226D4EB">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132FC36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0.906</w:t>
            </w:r>
          </w:p>
        </w:tc>
        <w:tc>
          <w:tcPr>
            <w:tcW w:w="1674" w:type="dxa"/>
            <w:noWrap w:val="0"/>
            <w:vAlign w:val="top"/>
          </w:tcPr>
          <w:p w14:paraId="2A270C24">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0.949</w:t>
            </w:r>
          </w:p>
        </w:tc>
      </w:tr>
      <w:tr w14:paraId="4E818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7F0379A5">
            <w:pPr>
              <w:jc w:val="center"/>
              <w:rPr>
                <w:rFonts w:hint="default"/>
                <w:b w:val="0"/>
                <w:bCs w:val="0"/>
                <w:kern w:val="2"/>
                <w:sz w:val="24"/>
                <w:szCs w:val="24"/>
                <w:vertAlign w:val="baseline"/>
                <w:lang w:val="en-US" w:eastAsia="zh-CN"/>
              </w:rPr>
            </w:pPr>
          </w:p>
        </w:tc>
        <w:tc>
          <w:tcPr>
            <w:tcW w:w="1803" w:type="dxa"/>
            <w:noWrap w:val="0"/>
            <w:vAlign w:val="top"/>
          </w:tcPr>
          <w:p w14:paraId="2CC0B10F">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(OURS)</w:t>
            </w:r>
          </w:p>
        </w:tc>
        <w:tc>
          <w:tcPr>
            <w:tcW w:w="1677" w:type="dxa"/>
            <w:vMerge w:val="continue"/>
            <w:noWrap w:val="0"/>
            <w:vAlign w:val="top"/>
          </w:tcPr>
          <w:p w14:paraId="65741CC0">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4F7F83D2">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bCs/>
                <w:kern w:val="2"/>
                <w:sz w:val="24"/>
                <w:szCs w:val="24"/>
                <w:vertAlign w:val="baseline"/>
                <w:lang w:val="en-US" w:eastAsia="zh-CN"/>
              </w:rPr>
              <w:t>0.91</w:t>
            </w:r>
            <w:bookmarkStart w:id="0" w:name="_GoBack"/>
            <w:bookmarkEnd w:id="0"/>
            <w:r>
              <w:rPr>
                <w:rFonts w:hint="eastAsia"/>
                <w:b/>
                <w:bCs/>
                <w:kern w:val="2"/>
                <w:sz w:val="24"/>
                <w:szCs w:val="24"/>
                <w:vertAlign w:val="baseline"/>
                <w:lang w:val="en-US" w:eastAsia="zh-CN"/>
              </w:rPr>
              <w:t>36</w:t>
            </w:r>
          </w:p>
        </w:tc>
        <w:tc>
          <w:tcPr>
            <w:tcW w:w="1674" w:type="dxa"/>
            <w:noWrap w:val="0"/>
            <w:vAlign w:val="top"/>
          </w:tcPr>
          <w:p w14:paraId="6323BBBD">
            <w:pPr>
              <w:ind w:left="0" w:leftChars="0" w:firstLine="0" w:firstLineChars="0"/>
              <w:jc w:val="center"/>
              <w:rPr>
                <w:rFonts w:hint="eastAsia"/>
                <w:b/>
                <w:bCs/>
                <w:kern w:val="2"/>
                <w:sz w:val="24"/>
                <w:szCs w:val="24"/>
                <w:vertAlign w:val="baseline"/>
                <w:lang w:val="en-US" w:eastAsia="zh-CN"/>
              </w:rPr>
            </w:pPr>
            <w:r>
              <w:rPr>
                <w:rFonts w:hint="eastAsia"/>
                <w:b/>
                <w:bCs/>
                <w:kern w:val="2"/>
                <w:sz w:val="24"/>
                <w:szCs w:val="24"/>
                <w:vertAlign w:val="baseline"/>
                <w:lang w:val="en-US" w:eastAsia="zh-CN"/>
              </w:rPr>
              <w:t>0.963</w:t>
            </w:r>
          </w:p>
        </w:tc>
      </w:tr>
    </w:tbl>
    <w:p w14:paraId="46E921E2">
      <w:pPr>
        <w:spacing w:before="0" w:beforeLines="0"/>
        <w:ind w:left="0" w:leftChars="0" w:firstLine="0" w:firstLineChars="0"/>
        <w:rPr>
          <w:rFonts w:hint="eastAsia"/>
          <w:b/>
          <w:bCs/>
        </w:rPr>
      </w:pPr>
    </w:p>
    <w:p w14:paraId="023D10AC">
      <w:pPr>
        <w:spacing w:before="0" w:beforeLines="0"/>
        <w:ind w:firstLine="420"/>
        <w:rPr>
          <w:rFonts w:hint="eastAsia" w:eastAsia="宋体"/>
          <w:snapToGrid w:val="0"/>
          <w:kern w:val="100"/>
          <w:szCs w:val="21"/>
          <w:lang w:val="en-US" w:eastAsia="zh-CN"/>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w:t>
      </w:r>
      <w:r>
        <w:rPr>
          <w:rFonts w:hint="eastAsia"/>
          <w:snapToGrid w:val="0"/>
          <w:kern w:val="100"/>
          <w:szCs w:val="21"/>
          <w:lang w:val="en-US" w:eastAsia="zh-CN"/>
        </w:rPr>
        <w:t>围</w:t>
      </w:r>
    </w:p>
    <w:p w14:paraId="34548A2B">
      <w:pPr>
        <w:spacing w:before="0" w:beforeLines="0"/>
        <w:ind w:left="0" w:leftChars="0" w:firstLine="0" w:firstLineChars="0"/>
        <w:rPr>
          <w:rFonts w:hint="default"/>
          <w:b/>
          <w:bCs/>
          <w:lang w:val="en-US" w:eastAsia="zh-CN"/>
        </w:rPr>
      </w:pPr>
    </w:p>
    <w:p w14:paraId="7E4FC1B6">
      <w:pPr>
        <w:ind w:left="0" w:leftChars="0" w:firstLine="0" w:firstLineChars="0"/>
        <w:rPr>
          <w:rFonts w:hint="default"/>
          <w:vertAlign w:val="baseline"/>
          <w:lang w:val="en-US" w:eastAsia="zh-CN"/>
        </w:rPr>
      </w:pPr>
      <w:r>
        <w:rPr>
          <w:rFonts w:hint="default"/>
          <w:vertAlign w:val="baseline"/>
          <w:lang w:val="en-US" w:eastAsia="zh-CN"/>
        </w:rPr>
        <w:drawing>
          <wp:inline distT="0" distB="0" distL="114300" distR="114300">
            <wp:extent cx="5779770" cy="2388235"/>
            <wp:effectExtent l="0" t="0" r="11430" b="12065"/>
            <wp:docPr id="10" name="图片 10" descr="174418399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44183991115"/>
                    <pic:cNvPicPr>
                      <a:picLocks noChangeAspect="1"/>
                    </pic:cNvPicPr>
                  </pic:nvPicPr>
                  <pic:blipFill>
                    <a:blip r:embed="rId20"/>
                    <a:stretch>
                      <a:fillRect/>
                    </a:stretch>
                  </pic:blipFill>
                  <pic:spPr>
                    <a:xfrm>
                      <a:off x="0" y="0"/>
                      <a:ext cx="5779770" cy="2388235"/>
                    </a:xfrm>
                    <a:prstGeom prst="rect">
                      <a:avLst/>
                    </a:prstGeom>
                  </pic:spPr>
                </pic:pic>
              </a:graphicData>
            </a:graphic>
          </wp:inline>
        </w:drawing>
      </w:r>
    </w:p>
    <w:p w14:paraId="1A439F06">
      <w:pPr>
        <w:ind w:left="0" w:leftChars="0" w:firstLine="0" w:firstLineChars="0"/>
        <w:rPr>
          <w:rFonts w:hint="default"/>
          <w:vertAlign w:val="baseline"/>
          <w:lang w:val="en-US" w:eastAsia="zh-CN"/>
        </w:rPr>
      </w:pPr>
      <w:r>
        <w:rPr>
          <w:rFonts w:hint="default"/>
          <w:vertAlign w:val="baseline"/>
          <w:lang w:val="en-US" w:eastAsia="zh-CN"/>
        </w:rPr>
        <w:drawing>
          <wp:inline distT="0" distB="0" distL="114300" distR="114300">
            <wp:extent cx="5777230" cy="2687955"/>
            <wp:effectExtent l="0" t="0" r="1270" b="4445"/>
            <wp:docPr id="11" name="图片 11" descr="174418868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44188684338"/>
                    <pic:cNvPicPr>
                      <a:picLocks noChangeAspect="1"/>
                    </pic:cNvPicPr>
                  </pic:nvPicPr>
                  <pic:blipFill>
                    <a:blip r:embed="rId21"/>
                    <a:stretch>
                      <a:fillRect/>
                    </a:stretch>
                  </pic:blipFill>
                  <pic:spPr>
                    <a:xfrm>
                      <a:off x="0" y="0"/>
                      <a:ext cx="5777230" cy="2687955"/>
                    </a:xfrm>
                    <a:prstGeom prst="rect">
                      <a:avLst/>
                    </a:prstGeom>
                  </pic:spPr>
                </pic:pic>
              </a:graphicData>
            </a:graphic>
          </wp:inline>
        </w:drawing>
      </w:r>
    </w:p>
    <w:p w14:paraId="31B6BD25">
      <w:pPr>
        <w:spacing w:line="300" w:lineRule="auto"/>
        <w:ind w:left="0" w:leftChars="0" w:firstLine="0" w:firstLineChars="0"/>
        <w:jc w:val="center"/>
        <w:rPr>
          <w:rFonts w:hint="eastAsia"/>
          <w:vertAlign w:val="baseline"/>
          <w:lang w:val="en-US" w:eastAsia="zh-CN"/>
        </w:rPr>
      </w:pPr>
      <w:r>
        <w:rPr>
          <w:rFonts w:hint="eastAsia"/>
          <w:vertAlign w:val="baseline"/>
          <w:lang w:val="en-US" w:eastAsia="zh-CN"/>
        </w:rPr>
        <w:t>说明书附图</w:t>
      </w:r>
    </w:p>
    <w:p w14:paraId="556E8DD5">
      <w:pPr>
        <w:spacing w:line="300" w:lineRule="auto"/>
        <w:ind w:left="0" w:leftChars="0" w:firstLine="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Times New Roman Regular">
    <w:altName w:val="Times New Roman"/>
    <w:panose1 w:val="020B0604020202020204"/>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482099"/>
      <w:docPartObj>
        <w:docPartGallery w:val="autotext"/>
      </w:docPartObj>
    </w:sdtPr>
    <w:sdtContent>
      <w:p w14:paraId="60EC7193">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591CEE00">
    <w:pPr>
      <w:pStyle w:val="17"/>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F3B02">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309592"/>
      <w:docPartObj>
        <w:docPartGallery w:val="autotext"/>
      </w:docPartObj>
    </w:sdtPr>
    <w:sdtContent>
      <w:p w14:paraId="51B55218">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019D7491">
    <w:pPr>
      <w:pStyle w:val="6"/>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F76CF4">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7E8B">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42A90">
    <w:pPr>
      <w:pStyle w:val="7"/>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88F7AC"/>
    <w:multiLevelType w:val="singleLevel"/>
    <w:tmpl w:val="1D88F7AC"/>
    <w:lvl w:ilvl="0" w:tentative="0">
      <w:start w:val="1"/>
      <w:numFmt w:val="decimal"/>
      <w:suff w:val="nothing"/>
      <w:lvlText w:val="（%1）"/>
      <w:lvlJc w:val="left"/>
    </w:lvl>
  </w:abstractNum>
  <w:abstractNum w:abstractNumId="2">
    <w:nsid w:val="48F90233"/>
    <w:multiLevelType w:val="singleLevel"/>
    <w:tmpl w:val="48F90233"/>
    <w:lvl w:ilvl="0" w:tentative="0">
      <w:start w:val="9"/>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9F3487"/>
    <w:rsid w:val="02A23BB6"/>
    <w:rsid w:val="02EC08AC"/>
    <w:rsid w:val="02FA4321"/>
    <w:rsid w:val="033F6241"/>
    <w:rsid w:val="03C52F1A"/>
    <w:rsid w:val="04A03544"/>
    <w:rsid w:val="05731B28"/>
    <w:rsid w:val="05F31C91"/>
    <w:rsid w:val="06CB6C3C"/>
    <w:rsid w:val="073665AF"/>
    <w:rsid w:val="07C12FC0"/>
    <w:rsid w:val="07F97EE5"/>
    <w:rsid w:val="08852948"/>
    <w:rsid w:val="08AF79C5"/>
    <w:rsid w:val="0B7F47CA"/>
    <w:rsid w:val="0BA8751B"/>
    <w:rsid w:val="0BAC0749"/>
    <w:rsid w:val="0BF40F20"/>
    <w:rsid w:val="0CF64E24"/>
    <w:rsid w:val="0D3E0669"/>
    <w:rsid w:val="0D426F90"/>
    <w:rsid w:val="0D6214AA"/>
    <w:rsid w:val="0D8B60D1"/>
    <w:rsid w:val="0D932457"/>
    <w:rsid w:val="0DC4120E"/>
    <w:rsid w:val="0DD26630"/>
    <w:rsid w:val="0E9A3896"/>
    <w:rsid w:val="0F6960C6"/>
    <w:rsid w:val="0FA04579"/>
    <w:rsid w:val="0FCF40FE"/>
    <w:rsid w:val="10C21B83"/>
    <w:rsid w:val="110D797F"/>
    <w:rsid w:val="11614A1E"/>
    <w:rsid w:val="11A57CC7"/>
    <w:rsid w:val="11AC53EA"/>
    <w:rsid w:val="11E562F2"/>
    <w:rsid w:val="1215360D"/>
    <w:rsid w:val="131D615B"/>
    <w:rsid w:val="13817AD4"/>
    <w:rsid w:val="138A1B49"/>
    <w:rsid w:val="14204270"/>
    <w:rsid w:val="1439322B"/>
    <w:rsid w:val="14546757"/>
    <w:rsid w:val="149F3A1F"/>
    <w:rsid w:val="156C5CE4"/>
    <w:rsid w:val="15D908D7"/>
    <w:rsid w:val="15DB4C81"/>
    <w:rsid w:val="1657359B"/>
    <w:rsid w:val="16CE49B4"/>
    <w:rsid w:val="170C29FE"/>
    <w:rsid w:val="17344DE4"/>
    <w:rsid w:val="173B5246"/>
    <w:rsid w:val="173C03EC"/>
    <w:rsid w:val="177E4F72"/>
    <w:rsid w:val="187160FA"/>
    <w:rsid w:val="18983272"/>
    <w:rsid w:val="18FE1560"/>
    <w:rsid w:val="195C30A1"/>
    <w:rsid w:val="19D63004"/>
    <w:rsid w:val="19D706F0"/>
    <w:rsid w:val="1A5605E9"/>
    <w:rsid w:val="1AA103EE"/>
    <w:rsid w:val="1B1E6CC0"/>
    <w:rsid w:val="1B916FEF"/>
    <w:rsid w:val="1BC841EA"/>
    <w:rsid w:val="1BDE0722"/>
    <w:rsid w:val="1D7D7904"/>
    <w:rsid w:val="1DD96FAC"/>
    <w:rsid w:val="1E174589"/>
    <w:rsid w:val="1E871624"/>
    <w:rsid w:val="1E932462"/>
    <w:rsid w:val="1E9E0FF8"/>
    <w:rsid w:val="1F481413"/>
    <w:rsid w:val="1FD44489"/>
    <w:rsid w:val="1FDF5DE5"/>
    <w:rsid w:val="200021A7"/>
    <w:rsid w:val="206550E2"/>
    <w:rsid w:val="215C4AF7"/>
    <w:rsid w:val="21981267"/>
    <w:rsid w:val="21997F43"/>
    <w:rsid w:val="21C72A32"/>
    <w:rsid w:val="21ED5BD6"/>
    <w:rsid w:val="22A44D69"/>
    <w:rsid w:val="22B41B58"/>
    <w:rsid w:val="236D21F4"/>
    <w:rsid w:val="23863CED"/>
    <w:rsid w:val="23DF1A1B"/>
    <w:rsid w:val="243755B9"/>
    <w:rsid w:val="25A85B04"/>
    <w:rsid w:val="25C81C55"/>
    <w:rsid w:val="25CA054A"/>
    <w:rsid w:val="26305B59"/>
    <w:rsid w:val="26837610"/>
    <w:rsid w:val="26BF7842"/>
    <w:rsid w:val="26FE4181"/>
    <w:rsid w:val="27182EAE"/>
    <w:rsid w:val="276A0A85"/>
    <w:rsid w:val="28101DD7"/>
    <w:rsid w:val="28104096"/>
    <w:rsid w:val="28CD6E8D"/>
    <w:rsid w:val="29A924AE"/>
    <w:rsid w:val="2A191F7C"/>
    <w:rsid w:val="2A746468"/>
    <w:rsid w:val="2A823687"/>
    <w:rsid w:val="2A9076D2"/>
    <w:rsid w:val="2A9A147E"/>
    <w:rsid w:val="2B0F3B98"/>
    <w:rsid w:val="2C413560"/>
    <w:rsid w:val="2C565978"/>
    <w:rsid w:val="2C5B6D26"/>
    <w:rsid w:val="2D5F11B9"/>
    <w:rsid w:val="2D967EA1"/>
    <w:rsid w:val="2E0917A2"/>
    <w:rsid w:val="2E4215F5"/>
    <w:rsid w:val="2E44352C"/>
    <w:rsid w:val="2E5D1AEE"/>
    <w:rsid w:val="2EAE0B19"/>
    <w:rsid w:val="2ECE02F6"/>
    <w:rsid w:val="2F4F7689"/>
    <w:rsid w:val="2F534259"/>
    <w:rsid w:val="2F85469D"/>
    <w:rsid w:val="2F9C5547"/>
    <w:rsid w:val="30280F63"/>
    <w:rsid w:val="3062163D"/>
    <w:rsid w:val="30E308C7"/>
    <w:rsid w:val="31F9527C"/>
    <w:rsid w:val="32160DFA"/>
    <w:rsid w:val="32646A25"/>
    <w:rsid w:val="32E667CC"/>
    <w:rsid w:val="33973027"/>
    <w:rsid w:val="34B55F89"/>
    <w:rsid w:val="34E9768C"/>
    <w:rsid w:val="34FC4168"/>
    <w:rsid w:val="35907849"/>
    <w:rsid w:val="365B58EF"/>
    <w:rsid w:val="368D18BF"/>
    <w:rsid w:val="36F167EC"/>
    <w:rsid w:val="373D184D"/>
    <w:rsid w:val="37BA58BB"/>
    <w:rsid w:val="37D030C6"/>
    <w:rsid w:val="385C2E16"/>
    <w:rsid w:val="39FC7653"/>
    <w:rsid w:val="39FF2AB1"/>
    <w:rsid w:val="3C101822"/>
    <w:rsid w:val="3DC81B7E"/>
    <w:rsid w:val="3E1C72DB"/>
    <w:rsid w:val="3E734A16"/>
    <w:rsid w:val="3EBB6DE3"/>
    <w:rsid w:val="3EE25C8F"/>
    <w:rsid w:val="3EF3649B"/>
    <w:rsid w:val="3F7B257C"/>
    <w:rsid w:val="3FB47094"/>
    <w:rsid w:val="3FF23EDE"/>
    <w:rsid w:val="402E1674"/>
    <w:rsid w:val="417B7F19"/>
    <w:rsid w:val="41AB0AB2"/>
    <w:rsid w:val="41E96DBE"/>
    <w:rsid w:val="42593309"/>
    <w:rsid w:val="42B40748"/>
    <w:rsid w:val="42EF7152"/>
    <w:rsid w:val="43BB380B"/>
    <w:rsid w:val="44C524B4"/>
    <w:rsid w:val="453273D9"/>
    <w:rsid w:val="45365BF7"/>
    <w:rsid w:val="46020C7E"/>
    <w:rsid w:val="461B348E"/>
    <w:rsid w:val="46C33558"/>
    <w:rsid w:val="46E83D20"/>
    <w:rsid w:val="46F34BA2"/>
    <w:rsid w:val="47076E44"/>
    <w:rsid w:val="47950E1F"/>
    <w:rsid w:val="47DC2E7C"/>
    <w:rsid w:val="47F308F3"/>
    <w:rsid w:val="486802DB"/>
    <w:rsid w:val="488841DB"/>
    <w:rsid w:val="49387294"/>
    <w:rsid w:val="49604C59"/>
    <w:rsid w:val="4965038D"/>
    <w:rsid w:val="4A3F77C6"/>
    <w:rsid w:val="4A974F3B"/>
    <w:rsid w:val="4C346170"/>
    <w:rsid w:val="4D9901E2"/>
    <w:rsid w:val="4DEC40F9"/>
    <w:rsid w:val="4E1F3556"/>
    <w:rsid w:val="4E426253"/>
    <w:rsid w:val="4EB6433D"/>
    <w:rsid w:val="4EBA6A46"/>
    <w:rsid w:val="4FA60003"/>
    <w:rsid w:val="50BD650B"/>
    <w:rsid w:val="50D47596"/>
    <w:rsid w:val="513D513B"/>
    <w:rsid w:val="513E731B"/>
    <w:rsid w:val="51737F33"/>
    <w:rsid w:val="521265C8"/>
    <w:rsid w:val="52533BAB"/>
    <w:rsid w:val="52807539"/>
    <w:rsid w:val="53052D5D"/>
    <w:rsid w:val="536A3872"/>
    <w:rsid w:val="53940983"/>
    <w:rsid w:val="53B07713"/>
    <w:rsid w:val="53C32D17"/>
    <w:rsid w:val="53DB0F9E"/>
    <w:rsid w:val="54290C33"/>
    <w:rsid w:val="54476BB5"/>
    <w:rsid w:val="55646D88"/>
    <w:rsid w:val="55733C5F"/>
    <w:rsid w:val="559A6058"/>
    <w:rsid w:val="55D40542"/>
    <w:rsid w:val="55FC3608"/>
    <w:rsid w:val="56D55E16"/>
    <w:rsid w:val="570F5FE9"/>
    <w:rsid w:val="571D15E5"/>
    <w:rsid w:val="57A5708D"/>
    <w:rsid w:val="57F347A6"/>
    <w:rsid w:val="57FE5F34"/>
    <w:rsid w:val="586650BE"/>
    <w:rsid w:val="58A6323F"/>
    <w:rsid w:val="58E33EFE"/>
    <w:rsid w:val="58EE436D"/>
    <w:rsid w:val="59345C94"/>
    <w:rsid w:val="595E6596"/>
    <w:rsid w:val="597305D8"/>
    <w:rsid w:val="5B97359D"/>
    <w:rsid w:val="5C0F1DCA"/>
    <w:rsid w:val="5C1F60F5"/>
    <w:rsid w:val="5C2B19DD"/>
    <w:rsid w:val="5C4473DF"/>
    <w:rsid w:val="5CBD3FD4"/>
    <w:rsid w:val="5CCC5BDE"/>
    <w:rsid w:val="5D194829"/>
    <w:rsid w:val="5D730C08"/>
    <w:rsid w:val="5D8F3531"/>
    <w:rsid w:val="5D9E584F"/>
    <w:rsid w:val="5EB443B6"/>
    <w:rsid w:val="5F10773B"/>
    <w:rsid w:val="5F785EBD"/>
    <w:rsid w:val="5F9E016D"/>
    <w:rsid w:val="6028293B"/>
    <w:rsid w:val="608633CC"/>
    <w:rsid w:val="60E02F3A"/>
    <w:rsid w:val="61130864"/>
    <w:rsid w:val="616076E9"/>
    <w:rsid w:val="619A0F68"/>
    <w:rsid w:val="61F44167"/>
    <w:rsid w:val="62031A89"/>
    <w:rsid w:val="62D554A3"/>
    <w:rsid w:val="62DE3B28"/>
    <w:rsid w:val="646E5AFB"/>
    <w:rsid w:val="64A318FC"/>
    <w:rsid w:val="651748FA"/>
    <w:rsid w:val="653667D2"/>
    <w:rsid w:val="65E61A9B"/>
    <w:rsid w:val="66E749E0"/>
    <w:rsid w:val="66F61F16"/>
    <w:rsid w:val="680C4DB4"/>
    <w:rsid w:val="6843396F"/>
    <w:rsid w:val="68577688"/>
    <w:rsid w:val="68C97080"/>
    <w:rsid w:val="68CE5110"/>
    <w:rsid w:val="68F007B0"/>
    <w:rsid w:val="68FB2144"/>
    <w:rsid w:val="699833C0"/>
    <w:rsid w:val="69EA1A54"/>
    <w:rsid w:val="6A8844F5"/>
    <w:rsid w:val="6B103B66"/>
    <w:rsid w:val="6B2E59C8"/>
    <w:rsid w:val="6B49346B"/>
    <w:rsid w:val="6BED613A"/>
    <w:rsid w:val="6BF456DC"/>
    <w:rsid w:val="6C14054D"/>
    <w:rsid w:val="6C5D0B51"/>
    <w:rsid w:val="6C8163CC"/>
    <w:rsid w:val="6D996DE2"/>
    <w:rsid w:val="6E9879FD"/>
    <w:rsid w:val="6EDE6E75"/>
    <w:rsid w:val="6EE5601D"/>
    <w:rsid w:val="702D0361"/>
    <w:rsid w:val="70697046"/>
    <w:rsid w:val="70E22587"/>
    <w:rsid w:val="70E959F3"/>
    <w:rsid w:val="70F64C44"/>
    <w:rsid w:val="71B83950"/>
    <w:rsid w:val="71C773CA"/>
    <w:rsid w:val="71CF7875"/>
    <w:rsid w:val="72107463"/>
    <w:rsid w:val="72BD08DB"/>
    <w:rsid w:val="73410663"/>
    <w:rsid w:val="73850C4E"/>
    <w:rsid w:val="73CA0659"/>
    <w:rsid w:val="73F86752"/>
    <w:rsid w:val="740E5D0D"/>
    <w:rsid w:val="74390F98"/>
    <w:rsid w:val="744964FD"/>
    <w:rsid w:val="74E82227"/>
    <w:rsid w:val="7530098F"/>
    <w:rsid w:val="7572460C"/>
    <w:rsid w:val="75AF3FAA"/>
    <w:rsid w:val="75B024BB"/>
    <w:rsid w:val="76B87B19"/>
    <w:rsid w:val="77062109"/>
    <w:rsid w:val="776D2D64"/>
    <w:rsid w:val="77993891"/>
    <w:rsid w:val="796A4136"/>
    <w:rsid w:val="79855B62"/>
    <w:rsid w:val="79D215F5"/>
    <w:rsid w:val="79D95434"/>
    <w:rsid w:val="7A6738F7"/>
    <w:rsid w:val="7AE85F45"/>
    <w:rsid w:val="7C875C73"/>
    <w:rsid w:val="7CCB19D6"/>
    <w:rsid w:val="7D0F0C27"/>
    <w:rsid w:val="7D126EF8"/>
    <w:rsid w:val="7E1041A0"/>
    <w:rsid w:val="7E2B778F"/>
    <w:rsid w:val="7EAB2185"/>
    <w:rsid w:val="7EB6554C"/>
    <w:rsid w:val="7EC62C4C"/>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Revision"/>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4009</Words>
  <Characters>4743</Characters>
  <Lines>6</Lines>
  <Paragraphs>1</Paragraphs>
  <TotalTime>0</TotalTime>
  <ScaleCrop>false</ScaleCrop>
  <LinksUpToDate>false</LinksUpToDate>
  <CharactersWithSpaces>4876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2025-04-10T06:28:35Z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