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975BA5D">
      <w:pPr>
        <w:pStyle w:val="17"/>
        <w:spacing w:before="120"/>
        <w:ind w:firstLine="422"/>
        <w:jc w:val="center"/>
        <w:rPr>
          <w:b/>
          <w:sz w:val="21"/>
          <w:szCs w:val="21"/>
        </w:rPr>
      </w:pPr>
      <w:r>
        <w:rPr>
          <w:rFonts w:hint="eastAsia" w:ascii="宋体"/>
          <w:b/>
          <w:sz w:val="21"/>
          <w:szCs w:val="21"/>
        </w:rPr>
        <w:t>技术交底书</w:t>
      </w:r>
    </w:p>
    <w:p w14:paraId="747B4D4F">
      <w:pPr>
        <w:pStyle w:val="17"/>
        <w:spacing w:before="120" w:line="360" w:lineRule="exact"/>
        <w:ind w:firstLine="422"/>
        <w:jc w:val="center"/>
        <w:rPr>
          <w:b/>
          <w:sz w:val="21"/>
          <w:szCs w:val="21"/>
        </w:rPr>
      </w:pPr>
    </w:p>
    <w:p w14:paraId="132B9C76">
      <w:pPr>
        <w:pStyle w:val="17"/>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w:t>
      </w:r>
      <w:r>
        <w:rPr>
          <w:rFonts w:hint="eastAsia" w:ascii="宋体"/>
          <w:b/>
          <w:sz w:val="21"/>
          <w:szCs w:val="21"/>
          <w:u w:val="single"/>
          <w:lang w:val="en-US" w:eastAsia="zh-CN"/>
        </w:rPr>
        <w:t xml:space="preserve">多专家机制的前列腺癌症T0/T1期分类  </w:t>
      </w:r>
      <w:r>
        <w:rPr>
          <w:rFonts w:ascii="宋体"/>
          <w:b/>
          <w:sz w:val="21"/>
          <w:szCs w:val="21"/>
          <w:u w:val="single"/>
        </w:rPr>
        <w:t xml:space="preserve"> </w:t>
      </w:r>
    </w:p>
    <w:p w14:paraId="0B1E0EDF">
      <w:pPr>
        <w:pStyle w:val="17"/>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w:t>
      </w:r>
      <w:r>
        <w:rPr>
          <w:rFonts w:hint="eastAsia" w:ascii="宋体"/>
          <w:b/>
          <w:sz w:val="21"/>
          <w:szCs w:val="21"/>
          <w:u w:val="single"/>
          <w:lang w:val="en-US" w:eastAsia="zh-CN"/>
        </w:rPr>
        <w:t>倪张凯</w:t>
      </w:r>
      <w:r>
        <w:rPr>
          <w:rFonts w:ascii="宋体"/>
          <w:b/>
          <w:sz w:val="21"/>
          <w:szCs w:val="21"/>
          <w:u w:val="single"/>
        </w:rPr>
        <w:t xml:space="preserve"> </w:t>
      </w:r>
      <w:r>
        <w:rPr>
          <w:rFonts w:hint="eastAsia" w:ascii="宋体"/>
          <w:b/>
          <w:sz w:val="21"/>
          <w:szCs w:val="21"/>
          <w:u w:val="single"/>
          <w:lang w:val="en-US" w:eastAsia="zh-CN"/>
        </w:rPr>
        <w:t>朱俊泽</w:t>
      </w:r>
      <w:r>
        <w:rPr>
          <w:rFonts w:ascii="宋体"/>
          <w:b/>
          <w:sz w:val="21"/>
          <w:szCs w:val="21"/>
          <w:u w:val="single"/>
        </w:rPr>
        <w:t xml:space="preserve"> </w:t>
      </w:r>
      <w:r>
        <w:rPr>
          <w:rFonts w:hint="eastAsia" w:ascii="宋体"/>
          <w:b/>
          <w:sz w:val="21"/>
          <w:szCs w:val="21"/>
          <w:u w:val="single"/>
          <w:lang w:val="en-US" w:eastAsia="zh-CN"/>
        </w:rPr>
        <w:t xml:space="preserve">肖润宇 </w:t>
      </w:r>
      <w:r>
        <w:rPr>
          <w:rFonts w:hint="eastAsia" w:ascii="宋体"/>
          <w:b/>
          <w:sz w:val="21"/>
          <w:szCs w:val="21"/>
          <w:u w:val="single"/>
        </w:rPr>
        <w:t>王瀚漓</w:t>
      </w:r>
      <w:r>
        <w:rPr>
          <w:rFonts w:ascii="宋体"/>
          <w:b/>
          <w:sz w:val="21"/>
          <w:szCs w:val="21"/>
          <w:u w:val="single"/>
        </w:rPr>
        <w:t xml:space="preserve">     </w:t>
      </w:r>
      <w:r>
        <w:rPr>
          <w:b/>
          <w:sz w:val="21"/>
          <w:szCs w:val="21"/>
          <w:u w:val="single"/>
        </w:rPr>
        <w:softHyphen/>
      </w:r>
      <w:r>
        <w:rPr>
          <w:rFonts w:ascii="宋体"/>
          <w:b/>
          <w:sz w:val="21"/>
          <w:szCs w:val="21"/>
        </w:rPr>
        <w:t xml:space="preserve"> </w:t>
      </w:r>
    </w:p>
    <w:p w14:paraId="5902671F">
      <w:pPr>
        <w:pStyle w:val="17"/>
        <w:spacing w:before="156"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66982BE">
      <w:pPr>
        <w:pStyle w:val="17"/>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31095020">
      <w:pPr>
        <w:pStyle w:val="17"/>
        <w:spacing w:before="120" w:line="360" w:lineRule="exact"/>
        <w:ind w:firstLine="0" w:firstLineChars="0"/>
        <w:rPr>
          <w:b/>
          <w:sz w:val="21"/>
          <w:szCs w:val="21"/>
        </w:rPr>
      </w:pPr>
    </w:p>
    <w:p w14:paraId="4D53B0D1">
      <w:pPr>
        <w:pStyle w:val="17"/>
        <w:spacing w:before="120" w:line="360" w:lineRule="exact"/>
        <w:ind w:firstLine="0" w:firstLineChars="0"/>
        <w:rPr>
          <w:color w:val="0000FF"/>
          <w:sz w:val="21"/>
          <w:szCs w:val="21"/>
        </w:rPr>
      </w:pPr>
      <w:r>
        <w:rPr>
          <w:rFonts w:hint="eastAsia" w:ascii="宋体"/>
          <w:color w:val="0000FF"/>
          <w:sz w:val="21"/>
          <w:szCs w:val="21"/>
        </w:rPr>
        <w:t>注意：</w:t>
      </w:r>
    </w:p>
    <w:p w14:paraId="1EB32FEC">
      <w:pPr>
        <w:pStyle w:val="17"/>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5B423D16">
      <w:pPr>
        <w:pStyle w:val="17"/>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172E525B">
      <w:pPr>
        <w:pStyle w:val="17"/>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671A2CF8">
      <w:pPr>
        <w:pStyle w:val="18"/>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723C23F8">
      <w:pPr>
        <w:pStyle w:val="17"/>
        <w:spacing w:before="120" w:line="360" w:lineRule="exact"/>
        <w:ind w:firstLine="0" w:firstLineChars="0"/>
        <w:rPr>
          <w:b/>
          <w:sz w:val="21"/>
          <w:szCs w:val="21"/>
        </w:rPr>
      </w:pPr>
    </w:p>
    <w:p w14:paraId="083CE74B">
      <w:pPr>
        <w:pStyle w:val="17"/>
        <w:spacing w:before="120" w:line="360" w:lineRule="exact"/>
        <w:ind w:firstLine="0" w:firstLineChars="0"/>
        <w:rPr>
          <w:b/>
          <w:sz w:val="21"/>
          <w:szCs w:val="21"/>
        </w:rPr>
      </w:pPr>
    </w:p>
    <w:p w14:paraId="2381E803">
      <w:pPr>
        <w:pStyle w:val="17"/>
        <w:spacing w:before="120" w:line="360" w:lineRule="auto"/>
        <w:ind w:firstLine="0" w:firstLineChars="0"/>
        <w:rPr>
          <w:b/>
          <w:sz w:val="21"/>
          <w:szCs w:val="21"/>
        </w:rPr>
      </w:pPr>
      <w:r>
        <w:rPr>
          <w:rFonts w:hint="eastAsia" w:ascii="宋体"/>
          <w:b/>
          <w:sz w:val="21"/>
          <w:szCs w:val="21"/>
        </w:rPr>
        <w:t>术语解释：</w:t>
      </w:r>
    </w:p>
    <w:p w14:paraId="49AE84AB">
      <w:pPr>
        <w:pStyle w:val="17"/>
        <w:spacing w:before="120" w:line="360" w:lineRule="auto"/>
        <w:ind w:firstLine="420"/>
        <w:rPr>
          <w:color w:val="0000FF"/>
          <w:sz w:val="21"/>
          <w:szCs w:val="21"/>
        </w:rPr>
      </w:pPr>
      <w:r>
        <w:rPr>
          <w:rFonts w:hint="eastAsia"/>
          <w:color w:val="0000FF"/>
          <w:sz w:val="21"/>
          <w:szCs w:val="21"/>
        </w:rPr>
        <w:t>解释一些跟技术方案有关的专业术语</w:t>
      </w:r>
    </w:p>
    <w:p w14:paraId="47247C32">
      <w:pPr>
        <w:pStyle w:val="17"/>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01071DF3">
      <w:pPr>
        <w:pStyle w:val="17"/>
        <w:tabs>
          <w:tab w:val="left" w:pos="435"/>
        </w:tabs>
        <w:spacing w:before="120" w:line="360" w:lineRule="exact"/>
        <w:ind w:firstLine="0" w:firstLineChars="0"/>
        <w:rPr>
          <w:rFonts w:hint="eastAsia"/>
          <w:b/>
          <w:sz w:val="21"/>
          <w:szCs w:val="21"/>
        </w:rPr>
      </w:pPr>
    </w:p>
    <w:p w14:paraId="126FE6A5">
      <w:pPr>
        <w:tabs>
          <w:tab w:val="left" w:pos="383"/>
          <w:tab w:val="left" w:pos="2122"/>
          <w:tab w:val="left" w:pos="3491"/>
          <w:tab w:val="left" w:pos="4872"/>
          <w:tab w:val="left" w:pos="5256"/>
          <w:tab w:val="left" w:pos="7200"/>
        </w:tabs>
        <w:spacing w:before="120"/>
        <w:ind w:firstLine="0" w:firstLineChars="0"/>
        <w:rPr>
          <w:rFonts w:ascii="Helvetica" w:hAnsi="Helvetica" w:cs="Helvetica"/>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12CEE2EF">
      <w:pPr>
        <w:tabs>
          <w:tab w:val="left" w:pos="383"/>
          <w:tab w:val="left" w:pos="2122"/>
          <w:tab w:val="left" w:pos="3491"/>
          <w:tab w:val="left" w:pos="4872"/>
          <w:tab w:val="left" w:pos="5256"/>
          <w:tab w:val="left" w:pos="7200"/>
        </w:tabs>
        <w:spacing w:before="120"/>
        <w:ind w:firstLine="0" w:firstLineChars="0"/>
        <w:rPr>
          <w:rFonts w:hint="eastAsia" w:ascii="Helvetica" w:hAnsi="Helvetica" w:cs="Helvetica"/>
          <w:szCs w:val="21"/>
        </w:rPr>
      </w:pPr>
    </w:p>
    <w:p w14:paraId="7953DEDA">
      <w:pPr>
        <w:pStyle w:val="17"/>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1A868B31">
      <w:pPr>
        <w:pStyle w:val="17"/>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36EF6C1B">
      <w:pPr>
        <w:pStyle w:val="17"/>
        <w:spacing w:before="120" w:line="360" w:lineRule="exact"/>
        <w:ind w:firstLine="0" w:firstLineChars="0"/>
        <w:rPr>
          <w:rFonts w:hint="eastAsia"/>
          <w:color w:val="0000FF"/>
          <w:sz w:val="21"/>
          <w:szCs w:val="21"/>
        </w:rPr>
      </w:pPr>
    </w:p>
    <w:p w14:paraId="753738B2">
      <w:pPr>
        <w:pStyle w:val="17"/>
        <w:spacing w:before="120" w:line="360" w:lineRule="exact"/>
        <w:ind w:firstLine="0" w:firstLineChars="0"/>
        <w:rPr>
          <w:i/>
          <w:sz w:val="21"/>
          <w:szCs w:val="21"/>
        </w:rPr>
      </w:pPr>
      <w:r>
        <w:rPr>
          <w:rFonts w:ascii="宋体"/>
          <w:b/>
          <w:sz w:val="21"/>
          <w:szCs w:val="21"/>
          <w:highlight w:val="green"/>
        </w:rPr>
        <w:t>4</w:t>
      </w:r>
      <w:r>
        <w:rPr>
          <w:rFonts w:hint="eastAsia" w:ascii="宋体"/>
          <w:b/>
          <w:sz w:val="21"/>
          <w:szCs w:val="21"/>
          <w:highlight w:val="green"/>
        </w:rPr>
        <w:t>、</w:t>
      </w: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3DF4B482">
      <w:pPr>
        <w:spacing w:before="120"/>
        <w:ind w:firstLine="0" w:firstLineChars="0"/>
      </w:pPr>
    </w:p>
    <w:p w14:paraId="1B827EF5">
      <w:pPr>
        <w:pStyle w:val="17"/>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478C1408">
      <w:pPr>
        <w:tabs>
          <w:tab w:val="left" w:pos="383"/>
          <w:tab w:val="left" w:pos="2122"/>
          <w:tab w:val="left" w:pos="3491"/>
          <w:tab w:val="left" w:pos="4872"/>
          <w:tab w:val="left" w:pos="5256"/>
          <w:tab w:val="left" w:pos="7200"/>
        </w:tabs>
        <w:spacing w:before="120"/>
        <w:ind w:firstLine="0" w:firstLineChars="0"/>
        <w:rPr>
          <w:rFonts w:ascii="楷体" w:hAnsi="楷体" w:eastAsia="楷体"/>
          <w:szCs w:val="21"/>
        </w:rPr>
      </w:pPr>
    </w:p>
    <w:p w14:paraId="248F73F2">
      <w:pPr>
        <w:pStyle w:val="17"/>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2E5FC044">
      <w:pPr>
        <w:spacing w:before="120"/>
        <w:ind w:firstLine="0" w:firstLineChars="0"/>
        <w:rPr>
          <w:rFonts w:hint="eastAsia"/>
          <w:szCs w:val="21"/>
        </w:rPr>
      </w:pPr>
    </w:p>
    <w:p w14:paraId="79C5303E">
      <w:pPr>
        <w:pStyle w:val="17"/>
        <w:spacing w:before="120" w:line="360" w:lineRule="exact"/>
        <w:ind w:firstLine="422"/>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3E138AD6">
      <w:pPr>
        <w:spacing w:before="120"/>
        <w:ind w:firstLine="0" w:firstLineChars="0"/>
        <w:rPr>
          <w:rFonts w:hint="eastAsia"/>
        </w:rPr>
      </w:pPr>
    </w:p>
    <w:p w14:paraId="0EC21201">
      <w:pPr>
        <w:pStyle w:val="17"/>
        <w:spacing w:before="120" w:line="360" w:lineRule="exact"/>
        <w:ind w:firstLine="422"/>
        <w:rPr>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4639772C">
      <w:pPr>
        <w:pStyle w:val="17"/>
        <w:spacing w:before="120" w:line="360" w:lineRule="exact"/>
        <w:ind w:firstLine="420"/>
        <w:rPr>
          <w:color w:val="0000FF"/>
          <w:sz w:val="21"/>
          <w:szCs w:val="21"/>
        </w:rPr>
      </w:pPr>
    </w:p>
    <w:p w14:paraId="6AA2DC7E">
      <w:pPr>
        <w:numPr>
          <w:ilvl w:val="0"/>
          <w:numId w:val="2"/>
        </w:numPr>
        <w:spacing w:before="120"/>
        <w:ind w:firstLine="422"/>
        <w:jc w:val="left"/>
        <w:rPr>
          <w:rFonts w:hint="eastAsia" w:ascii="楷体" w:hAnsi="楷体" w:eastAsia="楷体" w:cs="宋体"/>
          <w:b/>
          <w:color w:val="000000"/>
          <w:szCs w:val="21"/>
        </w:rPr>
      </w:pPr>
      <w:r>
        <w:rPr>
          <w:rFonts w:hint="eastAsia" w:ascii="楷体" w:hAnsi="楷体" w:eastAsia="楷体" w:cs="宋体"/>
          <w:b/>
          <w:color w:val="000000"/>
          <w:szCs w:val="21"/>
        </w:rPr>
        <w:t>案例（实施例）</w:t>
      </w:r>
    </w:p>
    <w:p w14:paraId="1BC6A3F4">
      <w:pPr>
        <w:numPr>
          <w:ilvl w:val="0"/>
          <w:numId w:val="0"/>
        </w:numPr>
        <w:spacing w:before="120"/>
        <w:jc w:val="left"/>
        <w:rPr>
          <w:rFonts w:hint="eastAsia" w:ascii="楷体" w:hAnsi="楷体" w:eastAsia="楷体" w:cs="宋体"/>
          <w:b/>
          <w:color w:val="000000"/>
          <w:szCs w:val="21"/>
        </w:rPr>
      </w:pPr>
    </w:p>
    <w:p w14:paraId="29222F81">
      <w:pPr>
        <w:numPr>
          <w:ilvl w:val="0"/>
          <w:numId w:val="0"/>
        </w:numPr>
        <w:spacing w:before="120"/>
        <w:jc w:val="center"/>
        <w:rPr>
          <w:rFonts w:hint="eastAsia"/>
          <w:b/>
          <w:sz w:val="21"/>
          <w:szCs w:val="21"/>
        </w:rPr>
      </w:pPr>
      <w:r>
        <w:rPr>
          <w:rFonts w:hint="eastAsia"/>
          <w:b/>
          <w:sz w:val="21"/>
          <w:szCs w:val="21"/>
        </w:rPr>
        <w:t>说明书</w:t>
      </w:r>
    </w:p>
    <w:p w14:paraId="32113793">
      <w:pPr>
        <w:numPr>
          <w:ilvl w:val="0"/>
          <w:numId w:val="0"/>
        </w:numPr>
        <w:spacing w:before="120"/>
        <w:jc w:val="center"/>
        <w:rPr>
          <w:rFonts w:hint="eastAsia" w:ascii="宋体"/>
          <w:b/>
          <w:szCs w:val="21"/>
          <w:lang w:val="en-US" w:eastAsia="zh-CN"/>
        </w:rPr>
      </w:pPr>
      <w:r>
        <w:rPr>
          <w:rFonts w:hint="eastAsia" w:ascii="宋体"/>
          <w:b/>
          <w:szCs w:val="21"/>
          <w:lang w:val="en-US" w:eastAsia="zh-CN"/>
        </w:rPr>
        <w:t>多专家机制的前列腺癌症T0/T1期分类</w:t>
      </w:r>
    </w:p>
    <w:p w14:paraId="6BF4C6C3">
      <w:pPr>
        <w:spacing w:before="0" w:beforeLines="0"/>
        <w:ind w:firstLine="0" w:firstLineChars="0"/>
        <w:rPr>
          <w:rFonts w:hint="eastAsia"/>
          <w:b/>
          <w:bCs/>
        </w:rPr>
      </w:pPr>
      <w:r>
        <w:rPr>
          <w:rFonts w:hint="eastAsia"/>
          <w:b/>
          <w:bCs/>
        </w:rPr>
        <w:t>技术领域</w:t>
      </w:r>
    </w:p>
    <w:p w14:paraId="0B88B9D0">
      <w:pPr>
        <w:spacing w:before="0" w:beforeLines="0"/>
        <w:ind w:firstLine="420" w:firstLineChars="0"/>
        <w:rPr>
          <w:rFonts w:hint="default" w:eastAsia="宋体"/>
          <w:b/>
          <w:bCs/>
          <w:lang w:val="en-US" w:eastAsia="zh-CN"/>
        </w:rPr>
      </w:pPr>
      <w:r>
        <w:t>本发明涉及</w:t>
      </w:r>
      <w:r>
        <w:rPr>
          <w:rFonts w:hint="eastAsia"/>
          <w:lang w:val="en-US" w:eastAsia="zh-CN"/>
        </w:rPr>
        <w:t>前列腺癌症T0/T1分期的诊断领域</w:t>
      </w:r>
    </w:p>
    <w:p w14:paraId="30133562">
      <w:pPr>
        <w:pStyle w:val="17"/>
        <w:spacing w:before="120" w:line="360" w:lineRule="auto"/>
        <w:ind w:firstLine="0" w:firstLineChars="0"/>
        <w:rPr>
          <w:rFonts w:hint="eastAsia" w:ascii="Times New Roman" w:hAnsi="Times New Roman" w:eastAsia="宋体" w:cs="Times New Roman"/>
          <w:b/>
          <w:bCs/>
          <w:sz w:val="21"/>
          <w:lang w:val="en-US" w:eastAsia="zh-CN" w:bidi="ar-SA"/>
        </w:rPr>
      </w:pPr>
      <w:r>
        <w:rPr>
          <w:rFonts w:hint="eastAsia" w:ascii="Times New Roman" w:hAnsi="Times New Roman" w:eastAsia="宋体" w:cs="Times New Roman"/>
          <w:b/>
          <w:bCs/>
          <w:sz w:val="21"/>
          <w:lang w:val="en-US" w:eastAsia="zh-CN" w:bidi="ar-SA"/>
        </w:rPr>
        <w:t>背景技术</w:t>
      </w:r>
    </w:p>
    <w:p w14:paraId="06261517">
      <w:pPr>
        <w:spacing w:line="300" w:lineRule="auto"/>
        <w:ind w:firstLine="420" w:firstLineChars="200"/>
        <w:jc w:val="both"/>
        <w:rPr>
          <w:rFonts w:hint="eastAsia"/>
          <w:lang w:val="en-US" w:eastAsia="zh-CN"/>
        </w:rPr>
      </w:pPr>
      <w:r>
        <w:rPr>
          <w:rFonts w:hint="eastAsia"/>
          <w:lang w:val="en-US" w:eastAsia="zh-CN"/>
        </w:rPr>
        <w:t>前列腺癌是全球男性中第二常见的癌症类型，也是导致癌症相关死亡的主要原因之一。在《中国前列腺癌筛查与早诊早治指南（2022年）》中，强调了提高筛查效果和规范性。尤其是在低资源地区，低成本且高效的诊断方法尤为关键。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0AE3EB7A">
      <w:pPr>
        <w:spacing w:line="300" w:lineRule="auto"/>
        <w:ind w:firstLine="420" w:firstLineChars="200"/>
        <w:jc w:val="both"/>
        <w:rPr>
          <w:rFonts w:hint="eastAsia"/>
          <w:lang w:val="en-US" w:eastAsia="zh-CN"/>
        </w:rPr>
      </w:pPr>
      <w:r>
        <w:rPr>
          <w:rFonts w:hint="eastAsia"/>
          <w:lang w:val="en-US" w:eastAsia="zh-CN"/>
        </w:rPr>
        <w:t>自监督学习（Self-Supervised Learning, SSL）是一种机器学习方法，它不依赖于人工标注的数据，而是通过数据本身生成监督信号，在医学中就有了相当的优势，它不消耗医生资源进行额外多标注。这种方法利用数据的内在结构和特性，从无标签的数据中学习表示。目前基于遮掩自动编码(Mask Automation Encoder</w:t>
      </w:r>
      <w:r>
        <w:rPr>
          <w:rFonts w:hint="eastAsia"/>
          <w:lang w:val="en-US" w:eastAsia="zh-CN"/>
        </w:rPr>
        <w:t>, MAE)的自监督预训练方法在视频中也逐渐开始运用，比如VideoMAE工作，基于视频的MAE工作如下流程所示：</w:t>
      </w:r>
    </w:p>
    <w:p w14:paraId="6AB5B9BD">
      <w:pPr>
        <w:spacing w:line="300" w:lineRule="auto"/>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727575" cy="1350010"/>
            <wp:effectExtent l="0" t="0" r="9525" b="889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4727575" cy="1350010"/>
                    </a:xfrm>
                    <a:prstGeom prst="round2DiagRect">
                      <a:avLst/>
                    </a:prstGeom>
                    <a:noFill/>
                    <a:ln w="9525">
                      <a:noFill/>
                    </a:ln>
                  </pic:spPr>
                </pic:pic>
              </a:graphicData>
            </a:graphic>
          </wp:inline>
        </w:drawing>
      </w:r>
    </w:p>
    <w:p w14:paraId="1B64E5E9">
      <w:pPr>
        <w:spacing w:line="300" w:lineRule="auto"/>
        <w:ind w:firstLine="420" w:firstLineChars="200"/>
        <w:jc w:val="both"/>
        <w:rPr>
          <w:rFonts w:hint="eastAsia"/>
          <w:lang w:val="en-US" w:eastAsia="zh-CN"/>
        </w:rPr>
      </w:pPr>
      <w:r>
        <w:rPr>
          <w:rFonts w:hint="eastAsia"/>
          <w:lang w:val="en-US" w:eastAsia="zh-CN"/>
        </w:rPr>
        <w:t>将下采样帧作为输入，使用跨行时间采样策略来进行更有效的视频预训练。形式上，首先从原始视频V中随机采样一个由t个连续帧组成的视频剪辑。然后，使用时间采样将剪辑压缩为T帧，每个帧包含H × W × 3像素</w:t>
      </w:r>
      <w:r>
        <w:rPr>
          <w:rFonts w:hint="eastAsia"/>
          <w:lang w:val="en-US" w:eastAsia="zh-CN"/>
        </w:rPr>
        <w:t>，并使用立方体嵌入来获得视频令牌。其中我们将每个大小为2 × 16 × 16的立方体视为一个令牌嵌入。因此，立方体嵌入层获得</w:t>
      </w:r>
      <m:oMath>
        <m:f>
          <m:fPr>
            <m:ctrlPr>
              <w:rPr>
                <w:rFonts w:ascii="Cambria Math" w:hAnsi="Cambria Math"/>
                <w:i/>
                <w:sz w:val="22"/>
                <w:szCs w:val="21"/>
                <w:lang w:val="en-US"/>
              </w:rPr>
            </m:ctrlPr>
          </m:fPr>
          <m:num>
            <m:r>
              <m:rPr/>
              <w:rPr>
                <w:rFonts w:hint="default" w:ascii="Cambria Math" w:hAnsi="Cambria Math"/>
                <w:sz w:val="22"/>
                <w:szCs w:val="21"/>
                <w:lang w:val="en-US" w:eastAsia="zh-CN"/>
              </w:rPr>
              <m:t>t</m:t>
            </m:r>
            <m:ctrlPr>
              <w:rPr>
                <w:rFonts w:ascii="Cambria Math" w:hAnsi="Cambria Math"/>
                <w:i/>
                <w:sz w:val="22"/>
                <w:szCs w:val="21"/>
                <w:lang w:val="en-US"/>
              </w:rPr>
            </m:ctrlPr>
          </m:num>
          <m:den>
            <m:r>
              <m:rPr/>
              <w:rPr>
                <w:rFonts w:hint="default" w:ascii="Cambria Math" w:hAnsi="Cambria Math"/>
                <w:sz w:val="22"/>
                <w:szCs w:val="21"/>
                <w:lang w:val="en-US" w:eastAsia="zh-CN"/>
              </w:rPr>
              <m:t>2</m:t>
            </m:r>
            <m:ctrlPr>
              <w:rPr>
                <w:rFonts w:ascii="Cambria Math" w:hAnsi="Cambria Math"/>
                <w:i/>
                <w:sz w:val="22"/>
                <w:szCs w:val="21"/>
                <w:lang w:val="en-US"/>
              </w:rPr>
            </m:ctrlPr>
          </m:den>
        </m:f>
        <m:r>
          <w:rPr>
            <w:rFonts w:hint="default" w:ascii="Cambria Math" w:hAnsi="Cambria Math" w:cs="Cambria Math"/>
            <w:sz w:val="22"/>
            <w:szCs w:val="21"/>
            <w:lang w:val="en-US"/>
          </w:rPr>
          <m:t>×</m:t>
        </m:r>
        <m:f>
          <m:fPr>
            <m:ctrlPr>
              <w:rPr>
                <w:rFonts w:hint="default" w:ascii="Cambria Math" w:hAnsi="Cambria Math" w:cs="Cambria Math"/>
                <w:i/>
                <w:sz w:val="22"/>
                <w:szCs w:val="21"/>
                <w:lang w:val="en-US"/>
              </w:rPr>
            </m:ctrlPr>
          </m:fPr>
          <m:num>
            <m:r>
              <m:rPr/>
              <w:rPr>
                <w:rFonts w:hint="default" w:ascii="Cambria Math" w:hAnsi="Cambria Math" w:cs="Cambria Math"/>
                <w:sz w:val="22"/>
                <w:szCs w:val="21"/>
                <w:lang w:val="en-US" w:eastAsia="zh-CN"/>
              </w:rPr>
              <m:t>ℎ</m:t>
            </m:r>
            <m:ctrlPr>
              <w:rPr>
                <w:rFonts w:hint="default" w:ascii="Cambria Math" w:hAnsi="Cambria Math" w:cs="Cambria Math"/>
                <w:i/>
                <w:sz w:val="22"/>
                <w:szCs w:val="21"/>
                <w:lang w:val="en-US"/>
              </w:rPr>
            </m:ctrlPr>
          </m:num>
          <m:den>
            <m:r>
              <m:rPr/>
              <w:rPr>
                <w:rFonts w:hint="default" w:ascii="Cambria Math" w:hAnsi="Cambria Math" w:cs="Cambria Math"/>
                <w:sz w:val="22"/>
                <w:szCs w:val="21"/>
                <w:lang w:val="en-US" w:eastAsia="zh-CN"/>
              </w:rPr>
              <m:t>16</m:t>
            </m:r>
            <m:ctrlPr>
              <w:rPr>
                <w:rFonts w:hint="default" w:ascii="Cambria Math" w:hAnsi="Cambria Math" w:cs="Cambria Math"/>
                <w:i/>
                <w:sz w:val="22"/>
                <w:szCs w:val="21"/>
                <w:lang w:val="en-US"/>
              </w:rPr>
            </m:ctrlPr>
          </m:den>
        </m:f>
        <m:r>
          <w:rPr>
            <w:rFonts w:hint="default" w:ascii="Cambria Math" w:hAnsi="Cambria Math" w:cs="Cambria Math"/>
            <w:sz w:val="22"/>
            <w:szCs w:val="21"/>
            <w:lang w:val="en-US"/>
          </w:rPr>
          <m:t>×</m:t>
        </m:r>
        <m:f>
          <m:fPr>
            <m:ctrlPr>
              <w:rPr>
                <w:rFonts w:hint="default" w:ascii="Cambria Math" w:hAnsi="Cambria Math" w:cs="Cambria Math"/>
                <w:i/>
                <w:sz w:val="22"/>
                <w:szCs w:val="21"/>
                <w:lang w:val="en-US"/>
              </w:rPr>
            </m:ctrlPr>
          </m:fPr>
          <m:num>
            <m:r>
              <m:rPr/>
              <w:rPr>
                <w:rFonts w:hint="default" w:ascii="Cambria Math" w:hAnsi="Cambria Math" w:cs="Cambria Math"/>
                <w:sz w:val="22"/>
                <w:szCs w:val="21"/>
                <w:lang w:val="en-US" w:eastAsia="zh-CN"/>
              </w:rPr>
              <m:t>w</m:t>
            </m:r>
            <m:ctrlPr>
              <w:rPr>
                <w:rFonts w:hint="default" w:ascii="Cambria Math" w:hAnsi="Cambria Math" w:cs="Cambria Math"/>
                <w:i/>
                <w:sz w:val="22"/>
                <w:szCs w:val="21"/>
                <w:lang w:val="en-US"/>
              </w:rPr>
            </m:ctrlPr>
          </m:num>
          <m:den>
            <m:r>
              <m:rPr/>
              <w:rPr>
                <w:rFonts w:hint="default" w:ascii="Cambria Math" w:hAnsi="Cambria Math" w:cs="Cambria Math"/>
                <w:sz w:val="22"/>
                <w:szCs w:val="21"/>
                <w:lang w:val="en-US" w:eastAsia="zh-CN"/>
              </w:rPr>
              <m:t>16</m:t>
            </m:r>
            <m:ctrlPr>
              <w:rPr>
                <w:rFonts w:hint="default" w:ascii="Cambria Math" w:hAnsi="Cambria Math" w:cs="Cambria Math"/>
                <w:i/>
                <w:sz w:val="22"/>
                <w:szCs w:val="21"/>
                <w:lang w:val="en-US"/>
              </w:rPr>
            </m:ctrlPr>
          </m:den>
        </m:f>
      </m:oMath>
      <w:r>
        <w:rPr>
          <w:rFonts w:hint="eastAsia"/>
          <w:lang w:val="en-US" w:eastAsia="zh-CN"/>
        </w:rPr>
        <w:t>个三维令牌，并将每个令牌映射到通道维度d。这种设计可以降低输入的时空维度，有助于缓解视频中的时空冗余。</w:t>
      </w:r>
    </w:p>
    <w:p w14:paraId="11884E31">
      <w:pPr>
        <w:spacing w:line="300" w:lineRule="auto"/>
        <w:ind w:firstLine="420" w:firstLineChars="200"/>
        <w:jc w:val="both"/>
        <w:rPr>
          <w:rFonts w:hint="eastAsia"/>
          <w:lang w:val="en-US" w:eastAsia="zh-CN"/>
        </w:rPr>
      </w:pPr>
      <w:r>
        <w:rPr>
          <w:rFonts w:hint="eastAsia"/>
          <w:lang w:val="en-US" w:eastAsia="zh-CN"/>
        </w:rPr>
        <w:t>然后对于获得的三维令牌，VideoMAE随机选择90%的信息进行遮掩。然后输入到了视觉编码器中，在VideoMAE工作中使用了视觉转换器(Vision Transformer, ViT)作为主干。然后利用解码器进行重建训练。</w:t>
      </w:r>
    </w:p>
    <w:p w14:paraId="1ADE8F39">
      <w:pPr>
        <w:spacing w:line="300" w:lineRule="auto"/>
        <w:ind w:firstLine="420" w:firstLineChars="200"/>
        <w:jc w:val="both"/>
        <w:rPr>
          <w:rFonts w:hint="eastAsia"/>
          <w:vertAlign w:val="baseline"/>
          <w:lang w:val="en-US" w:eastAsia="zh-CN"/>
        </w:rPr>
      </w:pPr>
      <w:r>
        <w:rPr>
          <w:rFonts w:hint="eastAsia"/>
          <w:vertAlign w:val="baseline"/>
          <w:lang w:val="en-US" w:eastAsia="zh-CN"/>
        </w:rPr>
        <w:t>其中针对前列腺癌症超声影像的数据方面有如下问题：</w:t>
      </w:r>
    </w:p>
    <w:p w14:paraId="56CC8123">
      <w:pPr>
        <w:numPr>
          <w:ilvl w:val="0"/>
          <w:numId w:val="3"/>
        </w:numPr>
        <w:spacing w:line="300" w:lineRule="auto"/>
        <w:ind w:firstLine="420" w:firstLineChars="200"/>
        <w:jc w:val="both"/>
        <w:rPr>
          <w:rFonts w:hint="eastAsia"/>
          <w:vertAlign w:val="baseline"/>
          <w:lang w:val="en-US" w:eastAsia="zh-CN"/>
        </w:rPr>
      </w:pPr>
      <w:r>
        <w:rPr>
          <w:rFonts w:hint="eastAsia"/>
          <w:vertAlign w:val="baseline"/>
          <w:lang w:val="en-US" w:eastAsia="zh-CN"/>
        </w:rPr>
        <w:t>：前列腺超声影像的数据中存在大量的无关信息，包括无病灶的区域。随机遮掩会导致模型学习过程中对局部结构的忽略，这在医学影像中尤其重要，因为局部特征往往决定了疾病的早期发现和准确诊断。MAE在遮掩了过多非关键的局部特征时，模型对真正关键的局部特征重建特征的学习就会相对的差。</w:t>
      </w:r>
    </w:p>
    <w:p w14:paraId="605FA329">
      <w:pPr>
        <w:numPr>
          <w:ilvl w:val="0"/>
          <w:numId w:val="3"/>
        </w:numPr>
        <w:spacing w:line="300" w:lineRule="auto"/>
        <w:ind w:left="0" w:leftChars="0" w:firstLine="420" w:firstLineChars="0"/>
        <w:jc w:val="left"/>
        <w:rPr>
          <w:rFonts w:hint="default"/>
          <w:vertAlign w:val="baseline"/>
          <w:lang w:val="en-US" w:eastAsia="zh-CN"/>
        </w:rPr>
      </w:pPr>
      <w:r>
        <w:rPr>
          <w:rFonts w:hint="eastAsia"/>
          <w:szCs w:val="21"/>
          <w:lang w:val="en-US" w:eastAsia="zh-CN"/>
        </w:rPr>
        <w:t>对医工落地方面，模型对多中心的数据泛化能力不强。不同医院的数据采集设备不一，视频数据中病灶集中区域不一，模型在一个中心学习到的时序特征和局部特征在另一个中心验证时模型性能扰动严重。</w:t>
      </w:r>
    </w:p>
    <w:p w14:paraId="57DD4988">
      <w:pPr>
        <w:spacing w:before="0" w:beforeLines="0"/>
        <w:ind w:firstLine="0" w:firstLineChars="0"/>
        <w:rPr>
          <w:rFonts w:hint="eastAsia"/>
          <w:b/>
          <w:bCs/>
        </w:rPr>
      </w:pPr>
      <w:r>
        <w:rPr>
          <w:rFonts w:hint="eastAsia"/>
          <w:b/>
          <w:bCs/>
        </w:rPr>
        <w:t>发明内容</w:t>
      </w:r>
    </w:p>
    <w:p w14:paraId="16099E78">
      <w:pPr>
        <w:spacing w:line="300" w:lineRule="auto"/>
        <w:ind w:firstLine="420" w:firstLineChars="200"/>
        <w:jc w:val="both"/>
        <w:rPr>
          <w:rFonts w:hint="eastAsia"/>
          <w:lang w:val="en-US" w:eastAsia="zh-CN"/>
        </w:rPr>
      </w:pPr>
      <w:r>
        <w:rPr>
          <w:rFonts w:hint="eastAsia"/>
          <w:lang w:val="en-US" w:eastAsia="zh-CN"/>
        </w:rPr>
        <w:t>为了解决上述问题，本发明提出了一种基于大模型丰富基础知识指导的可泛化的前列腺癌症T0/T1期诊断系统。该方法针对MAE流程中随机遮掩的重建预训练未让模型学习到关键区域的特征问题，设计了一个基于病灶分割内容的遮掩得分网络。迫使模型学习关键区域的特征也就是关键的局部特征。并且在下游微调时，利用在重建训练阶段预训练好的遮掩得分网络，将输入的视频中的重要区域的块作为额外提示添加给特征辅助分类头训练。</w:t>
      </w:r>
    </w:p>
    <w:p w14:paraId="607C7A2B">
      <w:pPr>
        <w:spacing w:line="300" w:lineRule="auto"/>
        <w:ind w:firstLine="420" w:firstLineChars="200"/>
        <w:jc w:val="both"/>
        <w:rPr>
          <w:rFonts w:hint="eastAsia"/>
          <w:lang w:val="en-US" w:eastAsia="zh-CN"/>
        </w:rPr>
      </w:pPr>
      <w:r>
        <w:rPr>
          <w:rFonts w:hint="eastAsia"/>
          <w:lang w:val="en-US" w:eastAsia="zh-CN"/>
        </w:rPr>
        <w:t>技术方案：</w:t>
      </w:r>
    </w:p>
    <w:p w14:paraId="20EDEAB6">
      <w:pPr>
        <w:spacing w:line="300" w:lineRule="auto"/>
        <w:ind w:firstLine="420" w:firstLineChars="200"/>
        <w:jc w:val="both"/>
        <w:rPr>
          <w:rFonts w:hint="eastAsia"/>
          <w:lang w:val="en-US" w:eastAsia="zh-CN"/>
        </w:rPr>
      </w:pPr>
      <w:r>
        <w:rPr>
          <w:rFonts w:hint="eastAsia"/>
          <w:lang w:val="en-US" w:eastAsia="zh-CN"/>
        </w:rPr>
        <w:t>一种基于大模型丰富基础知识指导的重要区域遮掩重建的前列腺癌症T0/T1分期系统设计方法。包含以下步骤：</w:t>
      </w:r>
    </w:p>
    <w:p w14:paraId="4D3266BE">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步骤1 数据预处理</w:t>
      </w:r>
    </w:p>
    <w:p w14:paraId="4D335E8C">
      <w:pPr>
        <w:spacing w:line="300" w:lineRule="auto"/>
        <w:ind w:firstLine="420" w:firstLineChars="200"/>
        <w:jc w:val="both"/>
        <w:rPr>
          <w:rFonts w:hint="eastAsia"/>
          <w:lang w:val="en-US" w:eastAsia="zh-CN"/>
        </w:rPr>
      </w:pPr>
      <w:r>
        <w:rPr>
          <w:rFonts w:hint="eastAsia"/>
          <w:lang w:val="en-US" w:eastAsia="zh-CN"/>
        </w:rPr>
        <w:t>将视频切分为多个等长的剪辑片段，片段长度固定。将片段中的每一帧通过MedSAM2，Deeplabv3，nnUNet2++，三个预训练的分割大模型获得三个模型对帧的分割结果。</w:t>
      </w:r>
    </w:p>
    <w:p w14:paraId="7F2CA258">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步骤2 遮掩得分生成</w:t>
      </w:r>
    </w:p>
    <w:p w14:paraId="3845866C">
      <w:pPr>
        <w:spacing w:line="300" w:lineRule="auto"/>
        <w:ind w:firstLine="420" w:firstLineChars="200"/>
        <w:jc w:val="both"/>
        <w:rPr>
          <w:rFonts w:hint="eastAsia"/>
          <w:lang w:val="en-US" w:eastAsia="zh-CN"/>
        </w:rPr>
      </w:pPr>
      <w:r>
        <w:rPr>
          <w:rFonts w:hint="eastAsia"/>
          <w:lang w:val="en-US" w:eastAsia="zh-CN"/>
        </w:rPr>
        <w:t>将整个视频通过块嵌入(Patch Embedding)获得多个三维令牌(Token)，将三维令牌输入我们设计的遮掩得分网络，该网络由三个独立的多头注意力块(Multi-Head Attention , MHA)和全连接层(Fully Connected , FC)组成，三个全连接层在输出各自对每一个令牌的得分之后，通过之前获得的三个分割图像，若某一个令牌是在分割图内的话，那么这个遮掩得分就会被加上一个值。以此来达到核心区域遮掩的目的。迫使模型学习核心病灶区域的特征。</w:t>
      </w:r>
    </w:p>
    <w:p w14:paraId="395C7F71">
      <w:pPr>
        <w:spacing w:line="300" w:lineRule="auto"/>
        <w:ind w:firstLine="420" w:firstLineChars="200"/>
        <w:jc w:val="both"/>
        <w:rPr>
          <w:rFonts w:hint="eastAsia"/>
          <w:lang w:val="en-US" w:eastAsia="zh-CN"/>
        </w:rPr>
      </w:pPr>
      <w:r>
        <w:rPr>
          <w:rFonts w:hint="eastAsia"/>
          <w:lang w:val="en-US" w:eastAsia="zh-CN"/>
        </w:rPr>
        <w:t>步骤3 预训练编码器</w:t>
      </w:r>
    </w:p>
    <w:p w14:paraId="46211785">
      <w:pPr>
        <w:spacing w:line="300" w:lineRule="auto"/>
        <w:ind w:firstLine="420" w:firstLineChars="200"/>
        <w:jc w:val="both"/>
        <w:rPr>
          <w:rFonts w:hint="eastAsia" w:hAnsi="Cambria Math"/>
          <w:i w:val="0"/>
          <w:szCs w:val="21"/>
          <w:lang w:val="en-US" w:eastAsia="zh-CN"/>
        </w:rPr>
      </w:pPr>
      <w:r>
        <w:rPr>
          <w:rFonts w:hint="eastAsia"/>
          <w:lang w:val="en-US" w:eastAsia="zh-CN"/>
        </w:rPr>
        <w:t>和VideoMAE设计的核心一样，我们开始预训练编码器，在这里我们选择的是视觉转换器基础版本(Vision Transformer-base, ViT-B)作为视觉转换器编码器解码器。通过步骤2，我们获得了每一个令牌的得分，我们将前90%排名的令牌遮掩，之后输入编码器，获得编码过的令牌，再将之前遮掩的令牌添加之后输入解码器，解码器重建出原图像计算重建损失训练</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来更新视觉转换器，通过重建内容和原内容差距和遮掩得分网络计算采样损失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szCs w:val="21"/>
          <w:lang w:val="en-US" w:eastAsia="zh-CN"/>
        </w:rPr>
        <w:t>来更新遮掩得分网络。</w:t>
      </w:r>
    </w:p>
    <w:p w14:paraId="5E2462E3">
      <w:pPr>
        <w:spacing w:line="300" w:lineRule="auto"/>
        <w:ind w:firstLine="420" w:firstLineChars="200"/>
        <w:jc w:val="both"/>
        <w:rPr>
          <w:rFonts w:hint="eastAsia" w:hAnsi="Cambria Math"/>
          <w:i w:val="0"/>
          <w:szCs w:val="21"/>
          <w:lang w:val="en-US" w:eastAsia="zh-CN"/>
        </w:rPr>
      </w:pPr>
      <w:r>
        <w:rPr>
          <w:rFonts w:hint="eastAsia" w:hAnsi="Cambria Math"/>
          <w:i w:val="0"/>
          <w:szCs w:val="21"/>
          <w:lang w:val="en-US" w:eastAsia="zh-CN"/>
        </w:rPr>
        <w:t>步骤4 微调编码器、分类头</w:t>
      </w:r>
    </w:p>
    <w:p w14:paraId="110D60A8">
      <w:pPr>
        <w:spacing w:line="300" w:lineRule="auto"/>
        <w:ind w:left="0" w:leftChars="0" w:firstLine="420" w:firstLineChars="0"/>
        <w:jc w:val="both"/>
        <w:rPr>
          <w:rFonts w:hint="default" w:hAnsi="Cambria Math"/>
          <w:i w:val="0"/>
          <w:szCs w:val="21"/>
          <w:lang w:val="en-US" w:eastAsia="zh-CN"/>
        </w:rPr>
      </w:pPr>
      <w:r>
        <w:rPr>
          <w:rFonts w:hint="eastAsia" w:hAnsi="Cambria Math"/>
          <w:i w:val="0"/>
          <w:szCs w:val="21"/>
          <w:lang w:val="en-US" w:eastAsia="zh-CN"/>
        </w:rPr>
        <w:t>在经过步骤3预训练好视觉编码器和遮掩得分网络后，我们冻结遮掩得分网络，开始进行下游分类任务中编码器和分类头的微调。对于带有标签的少量数据，我们将视频分出的剪辑经过遮掩得分网络后获得每个令牌的得分，将前10%的令牌作为额外的提示(Prompt)添加给令牌序列，输入预训练好的视觉编码器之后将获得的特征输入给分类头进行分类，通过交叉熵来更新分类头和编码器。</w:t>
      </w:r>
    </w:p>
    <w:p w14:paraId="1221DECC">
      <w:pPr>
        <w:spacing w:before="120" w:beforeLines="0"/>
        <w:ind w:firstLine="0" w:firstLineChars="0"/>
        <w:rPr>
          <w:rFonts w:hint="eastAsia"/>
          <w:b/>
          <w:bCs/>
        </w:rPr>
      </w:pPr>
      <w:r>
        <w:rPr>
          <w:rFonts w:hint="eastAsia"/>
          <w:b/>
          <w:bCs/>
        </w:rPr>
        <w:t>具体实施方式</w:t>
      </w:r>
    </w:p>
    <w:p w14:paraId="18966977">
      <w:pPr>
        <w:spacing w:before="0" w:beforeLines="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2BC20E13">
      <w:pPr>
        <w:spacing w:before="120" w:beforeLines="0"/>
        <w:ind w:firstLine="420" w:firstLineChars="0"/>
        <w:rPr>
          <w:rFonts w:hint="eastAsia"/>
          <w:lang w:val="en-US" w:eastAsia="zh-CN"/>
        </w:rPr>
      </w:pPr>
      <w:r>
        <w:rPr>
          <w:rFonts w:hint="eastAsia"/>
          <w:lang w:val="en-US" w:eastAsia="zh-CN"/>
        </w:rPr>
        <w:t>一种基于大模型丰富基础知识指导的重要区域遮掩重建的前列腺癌症T0/T1分期系统设计方法。如图1所示，包括如下具体步骤：</w:t>
      </w:r>
    </w:p>
    <w:p w14:paraId="15C5C6BF">
      <w:pPr>
        <w:spacing w:before="120" w:beforeLines="0"/>
        <w:ind w:firstLine="420" w:firstLineChars="0"/>
        <w:rPr>
          <w:rFonts w:hint="eastAsia"/>
          <w:lang w:val="en-US" w:eastAsia="zh-CN"/>
        </w:rPr>
      </w:pPr>
      <w:r>
        <w:rPr>
          <w:rFonts w:hint="eastAsia"/>
          <w:lang w:val="en-US" w:eastAsia="zh-CN"/>
        </w:rPr>
        <w:t>步骤1：数据预处理</w:t>
      </w:r>
    </w:p>
    <w:p w14:paraId="04ADDAD2">
      <w:pPr>
        <w:spacing w:before="120" w:beforeLines="0"/>
        <w:ind w:firstLine="420" w:firstLineChars="0"/>
        <w:rPr>
          <w:rFonts w:hint="eastAsia"/>
          <w:lang w:val="en-US" w:eastAsia="zh-CN"/>
        </w:rPr>
      </w:pPr>
      <w:r>
        <w:rPr>
          <w:rFonts w:hint="eastAsia"/>
          <w:lang w:val="en-US" w:eastAsia="zh-CN"/>
        </w:rPr>
        <w:t xml:space="preserve">针对有T帧的视频V，我们分割为多个等长剪辑，长度l设定为16，每个剪辑采用均匀步长的采样，具体来说我们设定采样间隔为step = </w:t>
      </w:r>
      <m:oMath>
        <m:f>
          <m:fPr>
            <m:ctrlPr>
              <w:rPr>
                <w:rFonts w:ascii="Cambria Math" w:hAnsi="Cambria Math"/>
                <w:i/>
                <w:sz w:val="24"/>
                <w:szCs w:val="22"/>
                <w:lang w:val="en-US"/>
              </w:rPr>
            </m:ctrlPr>
          </m:fPr>
          <m:num>
            <m:r>
              <m:rPr/>
              <w:rPr>
                <w:rFonts w:hint="default" w:ascii="Cambria Math" w:hAnsi="Cambria Math"/>
                <w:sz w:val="24"/>
                <w:szCs w:val="22"/>
                <w:lang w:val="en-US" w:eastAsia="zh-CN"/>
              </w:rPr>
              <m:t>T</m:t>
            </m:r>
            <m:ctrlPr>
              <w:rPr>
                <w:rFonts w:ascii="Cambria Math" w:hAnsi="Cambria Math"/>
                <w:i/>
                <w:sz w:val="24"/>
                <w:szCs w:val="22"/>
                <w:lang w:val="en-US"/>
              </w:rPr>
            </m:ctrlPr>
          </m:num>
          <m:den>
            <m:r>
              <m:rPr/>
              <w:rPr>
                <w:rFonts w:hint="default" w:ascii="Cambria Math" w:hAnsi="Cambria Math"/>
                <w:sz w:val="24"/>
                <w:szCs w:val="22"/>
                <w:lang w:val="en-US" w:eastAsia="zh-CN"/>
              </w:rPr>
              <m:t>l</m:t>
            </m:r>
            <m:ctrlPr>
              <w:rPr>
                <w:rFonts w:ascii="Cambria Math" w:hAnsi="Cambria Math"/>
                <w:i/>
                <w:sz w:val="24"/>
                <w:szCs w:val="22"/>
                <w:lang w:val="en-US"/>
              </w:rPr>
            </m:ctrlPr>
          </m:den>
        </m:f>
      </m:oMath>
      <w:r>
        <w:rPr>
          <w:rFonts w:hint="eastAsia"/>
          <w:lang w:val="en-US" w:eastAsia="zh-CN"/>
        </w:rPr>
        <w:t>，从第1帧到第step帧。其中每一帧开始往下均匀的采样，每隔step帧就采样进入本剪辑内，最终获得多个等长剪辑片段：</w:t>
      </w:r>
    </w:p>
    <w:p w14:paraId="3922796B">
      <w:pPr>
        <w:spacing w:before="120" w:beforeLines="0"/>
        <w:ind w:firstLine="420" w:firstLineChars="0"/>
        <w:rPr>
          <w:rFonts w:hAnsi="Cambria Math"/>
          <w:i w:val="0"/>
          <w:lang w:val="en-US"/>
        </w:rPr>
      </w:pPr>
      <m:oMathPara>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Clip</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Clip</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Clip</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N=T//l</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m:oMathPara>
    </w:p>
    <w:p w14:paraId="4021EF2A">
      <w:pPr>
        <w:spacing w:before="120" w:beforeLines="0"/>
        <w:ind w:firstLine="420" w:firstLineChars="0"/>
        <w:rPr>
          <w:rFonts w:hint="eastAsia"/>
          <w:lang w:val="en-US" w:eastAsia="zh-CN"/>
        </w:rPr>
      </w:pPr>
      <w:r>
        <w:rPr>
          <w:rFonts w:hint="eastAsia" w:hAnsi="Cambria Math"/>
          <w:i w:val="0"/>
          <w:lang w:val="en-US" w:eastAsia="zh-CN"/>
        </w:rPr>
        <w:t>此时经过预训练的分割模型</w:t>
      </w:r>
      <w:r>
        <w:rPr>
          <w:rFonts w:hint="eastAsia"/>
          <w:lang w:val="en-US" w:eastAsia="zh-CN"/>
        </w:rPr>
        <w:t>MedSAM2，Deeplabv3，nnUNet2++我们获得对应的分割内容：</w:t>
      </w:r>
    </w:p>
    <w:p w14:paraId="770BEFA6">
      <w:pPr>
        <w:spacing w:before="120" w:beforeLines="0"/>
        <w:ind w:firstLine="420" w:firstLineChars="0"/>
        <m:rPr/>
        <w:rPr>
          <w:rFonts w:hint="default" w:hAnsi="Cambria Math"/>
          <w:i w:val="0"/>
          <w:lang w:val="en-US" w:eastAsia="zh-CN"/>
        </w:rPr>
      </w:pPr>
      <m:oMathPara>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N=T//l</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r>
            <m:rPr/>
            <w:rPr>
              <w:rFonts w:hint="default" w:ascii="Cambria Math" w:hAnsi="Cambria Math"/>
              <w:lang w:val="en-US" w:eastAsia="zh-CN"/>
            </w:rPr>
            <m:t>(j=1,2,3)</m:t>
          </m:r>
        </m:oMath>
      </m:oMathPara>
    </w:p>
    <w:p w14:paraId="797C1185">
      <w:pPr>
        <w:spacing w:before="120" w:beforeLines="0"/>
        <w:ind w:firstLine="420" w:firstLineChars="0"/>
        <m:rPr/>
        <w:rPr>
          <w:rFonts w:hint="eastAsia" w:hAnsi="Cambria Math"/>
          <w:i w:val="0"/>
          <w:lang w:val="en-US" w:eastAsia="zh-CN"/>
        </w:rPr>
      </w:pPr>
      <w:r>
        <m:rPr/>
        <w:rPr>
          <w:rFonts w:hint="eastAsia" w:hAnsi="Cambria Math"/>
          <w:i w:val="0"/>
          <w:lang w:val="en-US" w:eastAsia="zh-CN"/>
        </w:rPr>
        <w:t>步骤2：遮掩得分生成</w:t>
      </w:r>
    </w:p>
    <w:p w14:paraId="17C9024F">
      <w:pPr>
        <w:spacing w:before="120" w:beforeLines="0"/>
        <w:ind w:firstLine="420" w:firstLineChars="0"/>
        <m:rPr/>
        <w:rPr>
          <w:rFonts w:hint="default" w:hAnsi="Cambria Math"/>
          <w:i w:val="0"/>
          <w:lang w:val="en-US" w:eastAsia="zh-CN"/>
        </w:rPr>
      </w:pPr>
      <w:bookmarkStart w:id="0" w:name="_GoBack"/>
      <w:bookmarkEnd w:id="0"/>
    </w:p>
    <w:p w14:paraId="29C91CEB">
      <w:pPr>
        <w:spacing w:before="0" w:beforeLines="0"/>
        <w:ind w:firstLine="0" w:firstLineChars="0"/>
        <w:jc w:val="left"/>
        <w:rPr>
          <w:b/>
          <w:bCs/>
        </w:rPr>
      </w:pPr>
      <w:r>
        <w:rPr>
          <w:rFonts w:hint="eastAsia"/>
          <w:b/>
          <w:bCs/>
        </w:rPr>
        <w:t>附图说明</w:t>
      </w:r>
    </w:p>
    <w:p w14:paraId="259AED72">
      <w:pPr>
        <w:spacing w:before="0" w:beforeLines="0"/>
        <w:rPr>
          <w:rFonts w:hint="eastAsia"/>
        </w:rPr>
      </w:pPr>
      <w:r>
        <w:rPr>
          <w:rFonts w:hint="eastAsia"/>
          <w:lang w:val="en-US" w:eastAsia="zh-CN"/>
        </w:rPr>
        <w:t>图1 本发明</w:t>
      </w:r>
      <w:r>
        <w:rPr>
          <w:rFonts w:hint="eastAsia"/>
        </w:rPr>
        <w:t>整体框架流程图</w:t>
      </w:r>
    </w:p>
    <w:p w14:paraId="297FE9A4">
      <w:pPr>
        <w:spacing w:before="0" w:beforeLines="0"/>
        <w:rPr>
          <w:rFonts w:hint="default" w:eastAsia="宋体"/>
          <w:lang w:val="en-US" w:eastAsia="zh-CN"/>
        </w:rPr>
      </w:pPr>
      <w:r>
        <w:rPr>
          <w:rFonts w:hint="eastAsia"/>
          <w:lang w:val="en-US" w:eastAsia="zh-CN"/>
        </w:rPr>
        <w:t>图2 遮掩得分网络具体流程图</w:t>
      </w:r>
    </w:p>
    <w:p w14:paraId="62C5C6BE">
      <w:pPr>
        <w:spacing w:before="0" w:beforeLines="0"/>
        <w:ind w:left="0" w:leftChars="0" w:firstLine="0" w:firstLineChars="0"/>
        <w:rPr>
          <w:rFonts w:hint="default"/>
          <w:vertAlign w:val="baseline"/>
          <w:lang w:val="en-US" w:eastAsia="zh-CN"/>
        </w:rPr>
      </w:pPr>
      <w:r>
        <w:rPr>
          <w:rFonts w:hint="eastAsia"/>
          <w:b/>
          <w:bCs/>
          <w:szCs w:val="21"/>
        </w:rPr>
        <w:t>应用</w:t>
      </w:r>
      <w:r>
        <w:rPr>
          <w:rFonts w:hint="eastAsia"/>
          <w:b/>
          <w:bCs/>
        </w:rPr>
        <w:t>实施例</w:t>
      </w:r>
    </w:p>
    <w:p w14:paraId="7E4FC1B6">
      <w:pPr>
        <w:ind w:left="0" w:leftChars="0" w:firstLine="0" w:firstLineChars="0"/>
        <w:rPr>
          <w:rFonts w:hint="default"/>
          <w:vertAlign w:val="baseline"/>
          <w:lang w:val="en-US" w:eastAsia="zh-CN"/>
        </w:rPr>
      </w:pPr>
      <w:r>
        <w:rPr>
          <w:rFonts w:hint="default"/>
          <w:vertAlign w:val="baseline"/>
          <w:lang w:val="en-US" w:eastAsia="zh-CN"/>
        </w:rPr>
        <w:drawing>
          <wp:inline distT="0" distB="0" distL="114300" distR="114300">
            <wp:extent cx="5779770" cy="2388235"/>
            <wp:effectExtent l="0" t="0" r="11430" b="12065"/>
            <wp:docPr id="10" name="图片 10" descr="174418399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44183991115"/>
                    <pic:cNvPicPr>
                      <a:picLocks noChangeAspect="1"/>
                    </pic:cNvPicPr>
                  </pic:nvPicPr>
                  <pic:blipFill>
                    <a:blip r:embed="rId13"/>
                    <a:stretch>
                      <a:fillRect/>
                    </a:stretch>
                  </pic:blipFill>
                  <pic:spPr>
                    <a:xfrm>
                      <a:off x="0" y="0"/>
                      <a:ext cx="5779770" cy="2388235"/>
                    </a:xfrm>
                    <a:prstGeom prst="rect">
                      <a:avLst/>
                    </a:prstGeom>
                  </pic:spPr>
                </pic:pic>
              </a:graphicData>
            </a:graphic>
          </wp:inline>
        </w:drawing>
      </w:r>
    </w:p>
    <w:p w14:paraId="1A439F06">
      <w:pPr>
        <w:ind w:left="0" w:leftChars="0" w:firstLine="0" w:firstLineChars="0"/>
        <w:rPr>
          <w:rFonts w:hint="default"/>
          <w:vertAlign w:val="baseline"/>
          <w:lang w:val="en-US" w:eastAsia="zh-CN"/>
        </w:rPr>
      </w:pPr>
      <w:r>
        <w:rPr>
          <w:rFonts w:hint="default"/>
          <w:vertAlign w:val="baseline"/>
          <w:lang w:val="en-US" w:eastAsia="zh-CN"/>
        </w:rPr>
        <w:drawing>
          <wp:inline distT="0" distB="0" distL="114300" distR="114300">
            <wp:extent cx="5777230" cy="2687955"/>
            <wp:effectExtent l="0" t="0" r="1270" b="4445"/>
            <wp:docPr id="11" name="图片 11" descr="174418868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44188684338"/>
                    <pic:cNvPicPr>
                      <a:picLocks noChangeAspect="1"/>
                    </pic:cNvPicPr>
                  </pic:nvPicPr>
                  <pic:blipFill>
                    <a:blip r:embed="rId14"/>
                    <a:stretch>
                      <a:fillRect/>
                    </a:stretch>
                  </pic:blipFill>
                  <pic:spPr>
                    <a:xfrm>
                      <a:off x="0" y="0"/>
                      <a:ext cx="5777230" cy="2687955"/>
                    </a:xfrm>
                    <a:prstGeom prst="rect">
                      <a:avLst/>
                    </a:prstGeom>
                  </pic:spPr>
                </pic:pic>
              </a:graphicData>
            </a:graphic>
          </wp:inline>
        </w:drawing>
      </w:r>
    </w:p>
    <w:p w14:paraId="31B6BD25">
      <w:pPr>
        <w:spacing w:line="300" w:lineRule="auto"/>
        <w:ind w:left="0" w:leftChars="0" w:firstLine="0" w:firstLineChars="0"/>
        <w:jc w:val="center"/>
        <w:rPr>
          <w:rFonts w:hint="eastAsia"/>
          <w:vertAlign w:val="baseline"/>
          <w:lang w:val="en-US" w:eastAsia="zh-CN"/>
        </w:rPr>
      </w:pPr>
      <w:r>
        <w:rPr>
          <w:rFonts w:hint="eastAsia"/>
          <w:vertAlign w:val="baseline"/>
          <w:lang w:val="en-US" w:eastAsia="zh-CN"/>
        </w:rPr>
        <w:t>说明书附图</w:t>
      </w:r>
    </w:p>
    <w:p w14:paraId="556E8DD5">
      <w:pPr>
        <w:spacing w:line="300" w:lineRule="auto"/>
        <w:ind w:left="0" w:leftChars="0" w:firstLine="0" w:firstLineChars="0"/>
        <w:jc w:val="left"/>
        <w:rPr>
          <w:rFonts w:hint="default"/>
          <w:vertAlign w:val="baseline"/>
          <w:lang w:val="en-US" w:eastAsia="zh-CN"/>
        </w:rPr>
      </w:pPr>
    </w:p>
    <w:p w14:paraId="1D33D7C4">
      <w:pPr>
        <w:spacing w:line="300" w:lineRule="auto"/>
        <w:ind w:left="0" w:leftChars="0" w:firstLine="420" w:firstLineChars="0"/>
        <w:jc w:val="left"/>
        <w:rPr>
          <w:rFonts w:hint="default"/>
          <w:vertAlign w:val="baseline"/>
          <w:lang w:val="en-US" w:eastAsia="zh-CN"/>
        </w:rPr>
      </w:pPr>
    </w:p>
    <w:p w14:paraId="387903F4">
      <w:pPr>
        <w:spacing w:line="300" w:lineRule="auto"/>
        <w:ind w:left="0" w:leftChars="0" w:firstLine="420" w:firstLineChars="0"/>
        <w:jc w:val="left"/>
        <w:rPr>
          <w:rFonts w:hint="default"/>
          <w:vertAlign w:val="baseline"/>
          <w:lang w:val="en-US" w:eastAsia="zh-CN"/>
        </w:rPr>
      </w:pPr>
    </w:p>
    <w:p w14:paraId="775BD154">
      <w:pPr>
        <w:spacing w:line="300" w:lineRule="auto"/>
        <w:ind w:left="0" w:leftChars="0" w:firstLine="420" w:firstLineChars="0"/>
        <w:jc w:val="left"/>
        <w:rPr>
          <w:rFonts w:hint="default"/>
          <w:vertAlign w:val="baseline"/>
          <w:lang w:val="en-US" w:eastAsia="zh-CN"/>
        </w:rPr>
      </w:pPr>
    </w:p>
    <w:p w14:paraId="60798C20">
      <w:pPr>
        <w:spacing w:line="300" w:lineRule="auto"/>
        <w:ind w:left="0" w:leftChars="0" w:firstLine="420" w:firstLineChars="0"/>
        <w:jc w:val="left"/>
        <w:rPr>
          <w:rFonts w:hint="default"/>
          <w:vertAlign w:val="baseline"/>
          <w:lang w:val="en-US" w:eastAsia="zh-CN"/>
        </w:rPr>
      </w:pPr>
    </w:p>
    <w:p w14:paraId="7F83ADFE">
      <w:pPr>
        <w:spacing w:line="300" w:lineRule="auto"/>
        <w:ind w:left="0" w:leftChars="0" w:firstLine="420" w:firstLineChars="0"/>
        <w:jc w:val="left"/>
        <w:rPr>
          <w:rFonts w:hint="default"/>
          <w:vertAlign w:val="baseline"/>
          <w:lang w:val="en-US" w:eastAsia="zh-CN"/>
        </w:rPr>
      </w:pPr>
    </w:p>
    <w:p w14:paraId="5A532270">
      <w:pPr>
        <w:spacing w:line="300" w:lineRule="auto"/>
        <w:ind w:left="0" w:leftChars="0" w:firstLine="420" w:firstLineChars="0"/>
        <w:jc w:val="left"/>
        <w:rPr>
          <w:rFonts w:hint="default"/>
          <w:vertAlign w:val="baseline"/>
          <w:lang w:val="en-US" w:eastAsia="zh-CN"/>
        </w:rPr>
      </w:pPr>
    </w:p>
    <w:p w14:paraId="494B1A76">
      <w:pPr>
        <w:spacing w:line="300" w:lineRule="auto"/>
        <w:ind w:left="0" w:leftChars="0" w:firstLine="420" w:firstLineChars="0"/>
        <w:jc w:val="left"/>
        <w:rPr>
          <w:rFonts w:hint="default"/>
          <w:vertAlign w:val="baseline"/>
          <w:lang w:val="en-US" w:eastAsia="zh-CN"/>
        </w:rPr>
      </w:pPr>
    </w:p>
    <w:p w14:paraId="30147DE0">
      <w:pPr>
        <w:spacing w:line="300" w:lineRule="auto"/>
        <w:ind w:left="0" w:leftChars="0" w:firstLine="420" w:firstLineChars="0"/>
        <w:jc w:val="left"/>
        <w:rPr>
          <w:rFonts w:hint="default"/>
          <w:vertAlign w:val="baseline"/>
          <w:lang w:val="en-US" w:eastAsia="zh-CN"/>
        </w:rPr>
      </w:pPr>
    </w:p>
    <w:p w14:paraId="1CB3BA37">
      <w:pPr>
        <w:spacing w:line="300" w:lineRule="auto"/>
        <w:ind w:left="0" w:leftChars="0" w:firstLine="420" w:firstLineChars="0"/>
        <w:jc w:val="left"/>
        <w:rPr>
          <w:rFonts w:hint="default"/>
          <w:vertAlign w:val="baseline"/>
          <w:lang w:val="en-US" w:eastAsia="zh-CN"/>
        </w:rPr>
      </w:pPr>
    </w:p>
    <w:p w14:paraId="2173273E">
      <w:pPr>
        <w:spacing w:line="300" w:lineRule="auto"/>
        <w:ind w:left="0" w:leftChars="0" w:firstLine="420" w:firstLineChars="0"/>
        <w:jc w:val="left"/>
        <w:rPr>
          <w:rFonts w:hint="default"/>
          <w:vertAlign w:val="baseline"/>
          <w:lang w:val="en-US" w:eastAsia="zh-CN"/>
        </w:rPr>
      </w:pPr>
    </w:p>
    <w:p w14:paraId="3EA8B66F">
      <w:pPr>
        <w:spacing w:line="300" w:lineRule="auto"/>
        <w:ind w:left="0" w:leftChars="0" w:firstLine="420" w:firstLineChars="0"/>
        <w:jc w:val="left"/>
        <w:rPr>
          <w:rFonts w:hint="default"/>
          <w:vertAlign w:val="baseline"/>
          <w:lang w:val="en-US" w:eastAsia="zh-CN"/>
        </w:rPr>
      </w:pPr>
    </w:p>
    <w:p w14:paraId="5BDE732E">
      <w:pPr>
        <w:spacing w:line="300" w:lineRule="auto"/>
        <w:ind w:left="0" w:leftChars="0" w:firstLine="420" w:firstLineChars="0"/>
        <w:jc w:val="left"/>
        <w:rPr>
          <w:rFonts w:hint="default"/>
          <w:vertAlign w:val="baseline"/>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0" w:h="16832"/>
      <w:pgMar w:top="1440" w:right="1355" w:bottom="1157" w:left="1440" w:header="646" w:footer="64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89855">
    <w:pPr>
      <w:pStyle w:val="17"/>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F42F5">
    <w:pPr>
      <w:pStyle w:val="6"/>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43D07">
    <w:pPr>
      <w:pStyle w:val="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5C87C">
    <w:pPr>
      <w:pStyle w:val="7"/>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19A21">
    <w:pPr>
      <w:pStyle w:val="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B9CA3">
    <w:pPr>
      <w:pStyle w:val="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D88F7AC"/>
    <w:multiLevelType w:val="singleLevel"/>
    <w:tmpl w:val="1D88F7AC"/>
    <w:lvl w:ilvl="0" w:tentative="0">
      <w:start w:val="1"/>
      <w:numFmt w:val="decimal"/>
      <w:suff w:val="nothing"/>
      <w:lvlText w:val="（%1）"/>
      <w:lvlJc w:val="left"/>
    </w:lvl>
  </w:abstractNum>
  <w:abstractNum w:abstractNumId="2">
    <w:nsid w:val="48F90233"/>
    <w:multiLevelType w:val="singleLevel"/>
    <w:tmpl w:val="48F90233"/>
    <w:lvl w:ilvl="0" w:tentative="0">
      <w:start w:val="9"/>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12BE3"/>
    <w:rsid w:val="00130B8F"/>
    <w:rsid w:val="00135C18"/>
    <w:rsid w:val="00141617"/>
    <w:rsid w:val="00141739"/>
    <w:rsid w:val="00141DC8"/>
    <w:rsid w:val="00142468"/>
    <w:rsid w:val="00143484"/>
    <w:rsid w:val="00145E12"/>
    <w:rsid w:val="00146D79"/>
    <w:rsid w:val="00151934"/>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2A23BB6"/>
    <w:rsid w:val="02EC08AC"/>
    <w:rsid w:val="02FA4321"/>
    <w:rsid w:val="03C52F1A"/>
    <w:rsid w:val="05F31C91"/>
    <w:rsid w:val="06CB6C3C"/>
    <w:rsid w:val="073665AF"/>
    <w:rsid w:val="07C12FC0"/>
    <w:rsid w:val="07F97EE5"/>
    <w:rsid w:val="08852948"/>
    <w:rsid w:val="08AF79C5"/>
    <w:rsid w:val="0BAC0749"/>
    <w:rsid w:val="0BF40F20"/>
    <w:rsid w:val="0D426F90"/>
    <w:rsid w:val="0D6214AA"/>
    <w:rsid w:val="0D8B60D1"/>
    <w:rsid w:val="0E9A3896"/>
    <w:rsid w:val="0F6960C6"/>
    <w:rsid w:val="0FA04579"/>
    <w:rsid w:val="10C21B83"/>
    <w:rsid w:val="11AC53EA"/>
    <w:rsid w:val="1215360D"/>
    <w:rsid w:val="131D615B"/>
    <w:rsid w:val="1439322B"/>
    <w:rsid w:val="14546757"/>
    <w:rsid w:val="149F3A1F"/>
    <w:rsid w:val="156C5CE4"/>
    <w:rsid w:val="15D908D7"/>
    <w:rsid w:val="15DB4C81"/>
    <w:rsid w:val="16CE49B4"/>
    <w:rsid w:val="170C29FE"/>
    <w:rsid w:val="17344DE4"/>
    <w:rsid w:val="173B5246"/>
    <w:rsid w:val="173C03EC"/>
    <w:rsid w:val="177E4F72"/>
    <w:rsid w:val="18983272"/>
    <w:rsid w:val="19D706F0"/>
    <w:rsid w:val="1AA103EE"/>
    <w:rsid w:val="1B1E6CC0"/>
    <w:rsid w:val="1B916FEF"/>
    <w:rsid w:val="1BC841EA"/>
    <w:rsid w:val="1BDE0722"/>
    <w:rsid w:val="1DD96FAC"/>
    <w:rsid w:val="1E174589"/>
    <w:rsid w:val="1E871624"/>
    <w:rsid w:val="1E932462"/>
    <w:rsid w:val="1F481413"/>
    <w:rsid w:val="1FD44489"/>
    <w:rsid w:val="1FDF5DE5"/>
    <w:rsid w:val="206550E2"/>
    <w:rsid w:val="21C72A32"/>
    <w:rsid w:val="22A44D69"/>
    <w:rsid w:val="22B41B58"/>
    <w:rsid w:val="236D21F4"/>
    <w:rsid w:val="23863CED"/>
    <w:rsid w:val="243755B9"/>
    <w:rsid w:val="25A85B04"/>
    <w:rsid w:val="26305B59"/>
    <w:rsid w:val="27182EAE"/>
    <w:rsid w:val="276A0A85"/>
    <w:rsid w:val="28104096"/>
    <w:rsid w:val="28CD6E8D"/>
    <w:rsid w:val="29A924AE"/>
    <w:rsid w:val="2A191F7C"/>
    <w:rsid w:val="2A746468"/>
    <w:rsid w:val="2A9A147E"/>
    <w:rsid w:val="2B0F3B98"/>
    <w:rsid w:val="2C565978"/>
    <w:rsid w:val="2C5B6D26"/>
    <w:rsid w:val="2D5F11B9"/>
    <w:rsid w:val="2D967EA1"/>
    <w:rsid w:val="2E44352C"/>
    <w:rsid w:val="2E5D1AEE"/>
    <w:rsid w:val="2EAE0B19"/>
    <w:rsid w:val="2ECE02F6"/>
    <w:rsid w:val="2F4F7689"/>
    <w:rsid w:val="2F534259"/>
    <w:rsid w:val="2F85469D"/>
    <w:rsid w:val="2F9C5547"/>
    <w:rsid w:val="30280F63"/>
    <w:rsid w:val="3062163D"/>
    <w:rsid w:val="30E308C7"/>
    <w:rsid w:val="31F9527C"/>
    <w:rsid w:val="32160DFA"/>
    <w:rsid w:val="32646A25"/>
    <w:rsid w:val="33973027"/>
    <w:rsid w:val="34E9768C"/>
    <w:rsid w:val="34FC4168"/>
    <w:rsid w:val="365B58EF"/>
    <w:rsid w:val="368D18BF"/>
    <w:rsid w:val="36F167EC"/>
    <w:rsid w:val="39FC7653"/>
    <w:rsid w:val="39FF2AB1"/>
    <w:rsid w:val="3C101822"/>
    <w:rsid w:val="3DC81B7E"/>
    <w:rsid w:val="3EBB6DE3"/>
    <w:rsid w:val="3EF3649B"/>
    <w:rsid w:val="3FB47094"/>
    <w:rsid w:val="402E1674"/>
    <w:rsid w:val="417B7F19"/>
    <w:rsid w:val="41E96DBE"/>
    <w:rsid w:val="42B40748"/>
    <w:rsid w:val="42EF7152"/>
    <w:rsid w:val="43BB380B"/>
    <w:rsid w:val="44C524B4"/>
    <w:rsid w:val="453273D9"/>
    <w:rsid w:val="45365BF7"/>
    <w:rsid w:val="46020C7E"/>
    <w:rsid w:val="46C33558"/>
    <w:rsid w:val="46E83D20"/>
    <w:rsid w:val="47076E44"/>
    <w:rsid w:val="47950E1F"/>
    <w:rsid w:val="486802DB"/>
    <w:rsid w:val="49387294"/>
    <w:rsid w:val="49604C59"/>
    <w:rsid w:val="4965038D"/>
    <w:rsid w:val="4A3F77C6"/>
    <w:rsid w:val="4A974F3B"/>
    <w:rsid w:val="4C346170"/>
    <w:rsid w:val="4DEC40F9"/>
    <w:rsid w:val="4E426253"/>
    <w:rsid w:val="4EB6433D"/>
    <w:rsid w:val="4EBA6A46"/>
    <w:rsid w:val="4FA60003"/>
    <w:rsid w:val="50BD650B"/>
    <w:rsid w:val="513D513B"/>
    <w:rsid w:val="513E731B"/>
    <w:rsid w:val="51737F33"/>
    <w:rsid w:val="52807539"/>
    <w:rsid w:val="53052D5D"/>
    <w:rsid w:val="54476BB5"/>
    <w:rsid w:val="55733C5F"/>
    <w:rsid w:val="559A6058"/>
    <w:rsid w:val="55D40542"/>
    <w:rsid w:val="56D55E16"/>
    <w:rsid w:val="570F5FE9"/>
    <w:rsid w:val="57A5708D"/>
    <w:rsid w:val="57F347A6"/>
    <w:rsid w:val="57FE5F34"/>
    <w:rsid w:val="586650BE"/>
    <w:rsid w:val="58A6323F"/>
    <w:rsid w:val="58E33EFE"/>
    <w:rsid w:val="595E6596"/>
    <w:rsid w:val="5B97359D"/>
    <w:rsid w:val="5C0F1DCA"/>
    <w:rsid w:val="5C1F60F5"/>
    <w:rsid w:val="5C2B19DD"/>
    <w:rsid w:val="5CCC5BDE"/>
    <w:rsid w:val="5D730C08"/>
    <w:rsid w:val="5D8F3531"/>
    <w:rsid w:val="5EB443B6"/>
    <w:rsid w:val="5F10773B"/>
    <w:rsid w:val="5F9E016D"/>
    <w:rsid w:val="6028293B"/>
    <w:rsid w:val="60E02F3A"/>
    <w:rsid w:val="61130864"/>
    <w:rsid w:val="616076E9"/>
    <w:rsid w:val="619A0F68"/>
    <w:rsid w:val="61F44167"/>
    <w:rsid w:val="62031A89"/>
    <w:rsid w:val="62D554A3"/>
    <w:rsid w:val="62DE3B28"/>
    <w:rsid w:val="646E5AFB"/>
    <w:rsid w:val="64A318FC"/>
    <w:rsid w:val="651748FA"/>
    <w:rsid w:val="653667D2"/>
    <w:rsid w:val="66E749E0"/>
    <w:rsid w:val="680C4DB4"/>
    <w:rsid w:val="6843396F"/>
    <w:rsid w:val="68577688"/>
    <w:rsid w:val="68CE5110"/>
    <w:rsid w:val="6A8844F5"/>
    <w:rsid w:val="6B103B66"/>
    <w:rsid w:val="6B2E59C8"/>
    <w:rsid w:val="6B49346B"/>
    <w:rsid w:val="6BED613A"/>
    <w:rsid w:val="6BF456DC"/>
    <w:rsid w:val="6C14054D"/>
    <w:rsid w:val="6C5D0B51"/>
    <w:rsid w:val="6EDE6E75"/>
    <w:rsid w:val="6EE5601D"/>
    <w:rsid w:val="702D0361"/>
    <w:rsid w:val="70E22587"/>
    <w:rsid w:val="70E959F3"/>
    <w:rsid w:val="71C773CA"/>
    <w:rsid w:val="71CF7875"/>
    <w:rsid w:val="72BD08DB"/>
    <w:rsid w:val="73410663"/>
    <w:rsid w:val="73850C4E"/>
    <w:rsid w:val="744964FD"/>
    <w:rsid w:val="74E82227"/>
    <w:rsid w:val="7530098F"/>
    <w:rsid w:val="7572460C"/>
    <w:rsid w:val="75B024BB"/>
    <w:rsid w:val="76B87B19"/>
    <w:rsid w:val="776D2D64"/>
    <w:rsid w:val="796A4136"/>
    <w:rsid w:val="79D215F5"/>
    <w:rsid w:val="79D95434"/>
    <w:rsid w:val="7A6738F7"/>
    <w:rsid w:val="7C875C73"/>
    <w:rsid w:val="7CCB19D6"/>
    <w:rsid w:val="7D0F0C27"/>
    <w:rsid w:val="7E1041A0"/>
    <w:rsid w:val="7EAB2185"/>
    <w:rsid w:val="7EB6554C"/>
    <w:rsid w:val="7EC62C4C"/>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6"/>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7"/>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4">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qFormat/>
    <w:uiPriority w:val="0"/>
    <w:pPr>
      <w:jc w:val="left"/>
    </w:pPr>
  </w:style>
  <w:style w:type="paragraph" w:styleId="5">
    <w:name w:val="Balloon Text"/>
    <w:basedOn w:val="1"/>
    <w:link w:val="25"/>
    <w:qFormat/>
    <w:uiPriority w:val="0"/>
    <w:pPr>
      <w:spacing w:line="240" w:lineRule="auto"/>
    </w:pPr>
    <w:rPr>
      <w:sz w:val="18"/>
      <w:szCs w:val="18"/>
    </w:rPr>
  </w:style>
  <w:style w:type="paragraph" w:styleId="6">
    <w:name w:val="footer"/>
    <w:basedOn w:val="1"/>
    <w:link w:val="20"/>
    <w:qFormat/>
    <w:uiPriority w:val="0"/>
    <w:pPr>
      <w:tabs>
        <w:tab w:val="center" w:pos="4153"/>
        <w:tab w:val="right" w:pos="8306"/>
      </w:tabs>
      <w:snapToGrid w:val="0"/>
      <w:spacing w:line="240" w:lineRule="auto"/>
      <w:jc w:val="left"/>
    </w:pPr>
    <w:rPr>
      <w:sz w:val="18"/>
      <w:szCs w:val="18"/>
    </w:rPr>
  </w:style>
  <w:style w:type="paragraph" w:styleId="7">
    <w:name w:val="header"/>
    <w:basedOn w:val="1"/>
    <w:link w:val="21"/>
    <w:qFormat/>
    <w:uiPriority w:val="99"/>
    <w:pPr>
      <w:pBdr>
        <w:bottom w:val="single" w:color="auto" w:sz="6" w:space="1"/>
      </w:pBdr>
      <w:tabs>
        <w:tab w:val="center" w:pos="4153"/>
        <w:tab w:val="right" w:pos="8306"/>
      </w:tabs>
      <w:spacing w:line="240" w:lineRule="auto"/>
      <w:jc w:val="center"/>
    </w:pPr>
    <w:rPr>
      <w:sz w:val="18"/>
    </w:rPr>
  </w:style>
  <w:style w:type="paragraph" w:styleId="8">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9">
    <w:name w:val="annotation subject"/>
    <w:basedOn w:val="4"/>
    <w:next w:val="4"/>
    <w:link w:val="24"/>
    <w:qFormat/>
    <w:uiPriority w:val="0"/>
    <w:rPr>
      <w:b/>
      <w:bCs/>
    </w:rPr>
  </w:style>
  <w:style w:type="table" w:styleId="11">
    <w:name w:val="Table Grid"/>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Theme"/>
    <w:basedOn w:val="10"/>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Simple 1"/>
    <w:basedOn w:val="10"/>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5">
    <w:name w:val="Strong"/>
    <w:basedOn w:val="14"/>
    <w:qFormat/>
    <w:uiPriority w:val="0"/>
    <w:rPr>
      <w:b/>
    </w:rPr>
  </w:style>
  <w:style w:type="character" w:styleId="16">
    <w:name w:val="annotation reference"/>
    <w:qFormat/>
    <w:uiPriority w:val="0"/>
    <w:rPr>
      <w:sz w:val="21"/>
      <w:szCs w:val="21"/>
    </w:rPr>
  </w:style>
  <w:style w:type="paragraph" w:customStyle="1" w:styleId="17">
    <w:name w:val="????????¨?¬???????????¡§¬???????????¡¨¬??????????¡§¬????????¡§¬??????????¡§¬???o???????????¡¨¬??????????¡§¬????????¡§¬??"/>
    <w:basedOn w:val="1"/>
    <w:qFormat/>
    <w:uiPriority w:val="0"/>
    <w:pPr>
      <w:spacing w:line="240" w:lineRule="auto"/>
      <w:jc w:val="left"/>
    </w:pPr>
    <w:rPr>
      <w:sz w:val="24"/>
    </w:rPr>
  </w:style>
  <w:style w:type="paragraph" w:customStyle="1" w:styleId="18">
    <w:name w:val="Default Text"/>
    <w:basedOn w:val="1"/>
    <w:qFormat/>
    <w:uiPriority w:val="0"/>
    <w:pPr>
      <w:spacing w:line="240" w:lineRule="auto"/>
      <w:jc w:val="left"/>
    </w:pPr>
    <w:rPr>
      <w:sz w:val="24"/>
    </w:rPr>
  </w:style>
  <w:style w:type="paragraph" w:customStyle="1" w:styleId="19">
    <w:name w:val="?y??????????¨?¬???o????????¡¨¬??????????¡§¬??|DD???"/>
    <w:basedOn w:val="1"/>
    <w:qFormat/>
    <w:uiPriority w:val="0"/>
    <w:pPr>
      <w:ind w:firstLine="425"/>
    </w:pPr>
  </w:style>
  <w:style w:type="character" w:customStyle="1" w:styleId="20">
    <w:name w:val="页脚 字符"/>
    <w:link w:val="6"/>
    <w:qFormat/>
    <w:uiPriority w:val="0"/>
    <w:rPr>
      <w:sz w:val="18"/>
      <w:szCs w:val="18"/>
    </w:rPr>
  </w:style>
  <w:style w:type="character" w:customStyle="1" w:styleId="21">
    <w:name w:val="页眉 字符"/>
    <w:link w:val="7"/>
    <w:qFormat/>
    <w:uiPriority w:val="99"/>
    <w:rPr>
      <w:sz w:val="18"/>
    </w:rPr>
  </w:style>
  <w:style w:type="paragraph" w:styleId="22">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3">
    <w:name w:val="批注文字 字符"/>
    <w:link w:val="4"/>
    <w:qFormat/>
    <w:uiPriority w:val="0"/>
    <w:rPr>
      <w:sz w:val="21"/>
    </w:rPr>
  </w:style>
  <w:style w:type="character" w:customStyle="1" w:styleId="24">
    <w:name w:val="批注主题 字符"/>
    <w:link w:val="9"/>
    <w:qFormat/>
    <w:uiPriority w:val="0"/>
    <w:rPr>
      <w:b/>
      <w:bCs/>
      <w:sz w:val="21"/>
    </w:rPr>
  </w:style>
  <w:style w:type="character" w:customStyle="1" w:styleId="25">
    <w:name w:val="批注框文本 字符"/>
    <w:link w:val="5"/>
    <w:qFormat/>
    <w:uiPriority w:val="0"/>
    <w:rPr>
      <w:sz w:val="18"/>
      <w:szCs w:val="18"/>
    </w:rPr>
  </w:style>
  <w:style w:type="character" w:customStyle="1" w:styleId="26">
    <w:name w:val="标题 1 字符"/>
    <w:link w:val="2"/>
    <w:qFormat/>
    <w:uiPriority w:val="9"/>
    <w:rPr>
      <w:rFonts w:ascii="等线" w:hAnsi="等线" w:eastAsia="等线"/>
      <w:b/>
      <w:bCs/>
      <w:kern w:val="44"/>
      <w:sz w:val="21"/>
      <w:szCs w:val="44"/>
    </w:rPr>
  </w:style>
  <w:style w:type="character" w:customStyle="1" w:styleId="27">
    <w:name w:val="标题 2 字符"/>
    <w:link w:val="3"/>
    <w:qFormat/>
    <w:uiPriority w:val="9"/>
    <w:rPr>
      <w:rFonts w:ascii="等线 Light" w:hAnsi="等线 Light" w:eastAsia="等线"/>
      <w:b/>
      <w:bCs/>
      <w:kern w:val="2"/>
      <w:sz w:val="21"/>
      <w:szCs w:val="32"/>
    </w:rPr>
  </w:style>
  <w:style w:type="paragraph" w:customStyle="1" w:styleId="28">
    <w:name w:val="Revision"/>
    <w:hidden/>
    <w:unhideWhenUsed/>
    <w:qFormat/>
    <w:uiPriority w:val="99"/>
    <w:rPr>
      <w:rFonts w:ascii="Times New Roman" w:hAnsi="Times New Roman" w:eastAsia="宋体" w:cs="Times New Roman"/>
      <w:sz w:val="21"/>
      <w:lang w:val="en-US" w:eastAsia="zh-CN" w:bidi="ar-SA"/>
    </w:rPr>
  </w:style>
  <w:style w:type="character" w:styleId="29">
    <w:name w:val="Placeholder Text"/>
    <w:basedOn w:val="14"/>
    <w:unhideWhenUsed/>
    <w:qFormat/>
    <w:uiPriority w:val="99"/>
    <w:rPr>
      <w:color w:val="808080"/>
    </w:rPr>
  </w:style>
  <w:style w:type="paragraph" w:customStyle="1" w:styleId="30">
    <w:name w:val="文献引用"/>
    <w:basedOn w:val="1"/>
    <w:link w:val="31"/>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1">
    <w:name w:val="文献引用 字符"/>
    <w:basedOn w:val="14"/>
    <w:link w:val="30"/>
    <w:qFormat/>
    <w:uiPriority w:val="0"/>
    <w:rPr>
      <w:rFonts w:eastAsia="楷体"/>
      <w:kern w:val="2"/>
      <w:sz w:val="24"/>
      <w:szCs w:val="24"/>
      <w:vertAlign w:val="superscript"/>
    </w:rPr>
  </w:style>
  <w:style w:type="table" w:customStyle="1" w:styleId="32">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图"/>
    <w:basedOn w:val="1"/>
    <w:link w:val="35"/>
    <w:qFormat/>
    <w:uiPriority w:val="0"/>
    <w:pPr>
      <w:spacing w:after="50" w:afterLines="50" w:line="300" w:lineRule="auto"/>
      <w:ind w:firstLine="0" w:firstLineChars="0"/>
      <w:jc w:val="center"/>
    </w:pPr>
    <w:rPr>
      <w:rFonts w:eastAsia="楷体"/>
      <w:b/>
      <w:bCs/>
    </w:rPr>
  </w:style>
  <w:style w:type="character" w:customStyle="1" w:styleId="35">
    <w:name w:val="图 字符"/>
    <w:basedOn w:val="14"/>
    <w:link w:val="34"/>
    <w:qFormat/>
    <w:uiPriority w:val="0"/>
    <w:rPr>
      <w:rFonts w:eastAsia="楷体"/>
      <w:b/>
      <w:bCs/>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4003</Words>
  <Characters>4581</Characters>
  <Lines>6</Lines>
  <Paragraphs>1</Paragraphs>
  <TotalTime>2</TotalTime>
  <ScaleCrop>false</ScaleCrop>
  <LinksUpToDate>false</LinksUpToDate>
  <CharactersWithSpaces>4646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2025-04-09T09:06:56Z</dcterms:modified>
  <dc:title>技术交底书撰写模版</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