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0F6E0C3">
      <w:pPr>
        <w:pStyle w:val="17"/>
        <w:spacing w:before="120"/>
        <w:ind w:firstLine="422"/>
        <w:jc w:val="center"/>
        <w:rPr>
          <w:b/>
          <w:sz w:val="21"/>
          <w:szCs w:val="21"/>
        </w:rPr>
      </w:pPr>
      <w:r>
        <w:rPr>
          <w:rFonts w:hint="eastAsia" w:ascii="宋体"/>
          <w:b/>
          <w:sz w:val="21"/>
          <w:szCs w:val="21"/>
        </w:rPr>
        <w:t>技术交底书</w:t>
      </w:r>
    </w:p>
    <w:p w14:paraId="1A19408E">
      <w:pPr>
        <w:pStyle w:val="17"/>
        <w:spacing w:before="120" w:line="360" w:lineRule="exact"/>
        <w:ind w:firstLine="422"/>
        <w:jc w:val="center"/>
        <w:rPr>
          <w:b/>
          <w:sz w:val="21"/>
          <w:szCs w:val="21"/>
        </w:rPr>
      </w:pPr>
    </w:p>
    <w:p w14:paraId="55CE4567">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一种基于多专家机制的前列腺癌肿瘤分期分类方法  </w:t>
      </w:r>
      <w:r>
        <w:rPr>
          <w:rFonts w:ascii="宋体"/>
          <w:b/>
          <w:sz w:val="21"/>
          <w:szCs w:val="21"/>
          <w:u w:val="single"/>
        </w:rPr>
        <w:t xml:space="preserve"> </w:t>
      </w:r>
    </w:p>
    <w:p w14:paraId="65496023">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倪张凯</w:t>
      </w:r>
      <w:r>
        <w:rPr>
          <w:rFonts w:ascii="宋体"/>
          <w:b/>
          <w:sz w:val="21"/>
          <w:szCs w:val="21"/>
          <w:u w:val="single"/>
        </w:rPr>
        <w:t xml:space="preserve"> </w:t>
      </w:r>
      <w:r>
        <w:rPr>
          <w:rFonts w:hint="eastAsia" w:ascii="宋体"/>
          <w:b/>
          <w:sz w:val="21"/>
          <w:szCs w:val="21"/>
          <w:u w:val="single"/>
        </w:rPr>
        <w:t>朱俊泽</w:t>
      </w:r>
      <w:r>
        <w:rPr>
          <w:rFonts w:ascii="宋体"/>
          <w:b/>
          <w:sz w:val="21"/>
          <w:szCs w:val="21"/>
          <w:u w:val="single"/>
        </w:rPr>
        <w:t xml:space="preserve"> </w:t>
      </w:r>
      <w:r>
        <w:rPr>
          <w:rFonts w:hint="eastAsia" w:ascii="宋体"/>
          <w:b/>
          <w:sz w:val="21"/>
          <w:szCs w:val="21"/>
          <w:u w:val="single"/>
        </w:rPr>
        <w:t>肖润宇</w:t>
      </w:r>
      <w:r>
        <w:rPr>
          <w:rFonts w:ascii="宋体"/>
          <w:b/>
          <w:sz w:val="21"/>
          <w:szCs w:val="21"/>
          <w:u w:val="single"/>
        </w:rPr>
        <w:t xml:space="preserve">     </w:t>
      </w:r>
      <w:r>
        <w:rPr>
          <w:b/>
          <w:sz w:val="21"/>
          <w:szCs w:val="21"/>
          <w:u w:val="single"/>
        </w:rPr>
        <w:softHyphen/>
      </w:r>
      <w:r>
        <w:rPr>
          <w:rFonts w:ascii="宋体"/>
          <w:b/>
          <w:sz w:val="21"/>
          <w:szCs w:val="21"/>
        </w:rPr>
        <w:t xml:space="preserve"> </w:t>
      </w:r>
    </w:p>
    <w:p w14:paraId="4AFA0D75">
      <w:pPr>
        <w:pStyle w:val="17"/>
        <w:spacing w:before="120"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5E32D2C">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2748F1DD">
      <w:pPr>
        <w:pStyle w:val="17"/>
        <w:spacing w:before="120" w:line="360" w:lineRule="exact"/>
        <w:ind w:firstLine="0" w:firstLineChars="0"/>
        <w:rPr>
          <w:b/>
          <w:sz w:val="21"/>
          <w:szCs w:val="21"/>
        </w:rPr>
      </w:pPr>
    </w:p>
    <w:p w14:paraId="34736EF2">
      <w:pPr>
        <w:pStyle w:val="17"/>
        <w:spacing w:before="120" w:line="360" w:lineRule="exact"/>
        <w:ind w:firstLine="0" w:firstLineChars="0"/>
        <w:rPr>
          <w:color w:val="0000FF"/>
          <w:sz w:val="21"/>
          <w:szCs w:val="21"/>
        </w:rPr>
      </w:pPr>
      <w:r>
        <w:rPr>
          <w:rFonts w:hint="eastAsia" w:ascii="宋体"/>
          <w:color w:val="0000FF"/>
          <w:sz w:val="21"/>
          <w:szCs w:val="21"/>
        </w:rPr>
        <w:t>注意：</w:t>
      </w:r>
    </w:p>
    <w:p w14:paraId="4B741494">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3F46435D">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05931936">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773AD899">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27945753">
      <w:pPr>
        <w:pStyle w:val="17"/>
        <w:spacing w:before="120" w:line="360" w:lineRule="exact"/>
        <w:ind w:firstLine="0" w:firstLineChars="0"/>
        <w:rPr>
          <w:b/>
          <w:sz w:val="21"/>
          <w:szCs w:val="21"/>
        </w:rPr>
      </w:pPr>
    </w:p>
    <w:p w14:paraId="00E6DACE">
      <w:pPr>
        <w:pStyle w:val="17"/>
        <w:spacing w:before="120" w:line="360" w:lineRule="exact"/>
        <w:ind w:firstLine="0" w:firstLineChars="0"/>
        <w:rPr>
          <w:b/>
          <w:sz w:val="21"/>
          <w:szCs w:val="21"/>
        </w:rPr>
      </w:pPr>
    </w:p>
    <w:p w14:paraId="3364C789">
      <w:pPr>
        <w:pStyle w:val="17"/>
        <w:spacing w:before="120" w:line="360" w:lineRule="auto"/>
        <w:ind w:firstLine="0" w:firstLineChars="0"/>
        <w:rPr>
          <w:b/>
          <w:sz w:val="21"/>
          <w:szCs w:val="21"/>
        </w:rPr>
      </w:pPr>
      <w:r>
        <w:rPr>
          <w:rFonts w:hint="eastAsia" w:ascii="宋体"/>
          <w:b/>
          <w:sz w:val="21"/>
          <w:szCs w:val="21"/>
        </w:rPr>
        <w:t>术语解释：</w:t>
      </w:r>
    </w:p>
    <w:p w14:paraId="3C479D2D">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2265947D">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2DFE45FE">
      <w:pPr>
        <w:pStyle w:val="17"/>
        <w:tabs>
          <w:tab w:val="left" w:pos="435"/>
        </w:tabs>
        <w:spacing w:before="120" w:line="360" w:lineRule="exact"/>
        <w:ind w:firstLine="0" w:firstLineChars="0"/>
        <w:rPr>
          <w:b/>
          <w:sz w:val="21"/>
          <w:szCs w:val="21"/>
        </w:rPr>
      </w:pPr>
      <w:r>
        <w:rPr>
          <w:rFonts w:hint="eastAsia"/>
          <w:b/>
          <w:sz w:val="21"/>
          <w:szCs w:val="21"/>
        </w:rPr>
        <w:tab/>
      </w:r>
      <w:r>
        <w:rPr>
          <w:rFonts w:hint="eastAsia"/>
          <w:sz w:val="21"/>
        </w:rPr>
        <w:t>前列腺癌症超声影像的遮掩自动编码器的重建预训练和微调方法</w:t>
      </w:r>
    </w:p>
    <w:p w14:paraId="0ECFFF29">
      <w:pPr>
        <w:tabs>
          <w:tab w:val="left" w:pos="383"/>
          <w:tab w:val="left" w:pos="2122"/>
          <w:tab w:val="left" w:pos="3491"/>
          <w:tab w:val="left" w:pos="4872"/>
          <w:tab w:val="left" w:pos="5256"/>
          <w:tab w:val="left" w:pos="7200"/>
        </w:tabs>
        <w:spacing w:before="120"/>
        <w:ind w:firstLine="0" w:firstLineChars="0"/>
        <w:rPr>
          <w:rFonts w:ascii="宋体"/>
          <w:color w:val="0000FF"/>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5C7C9239">
      <w:pPr>
        <w:spacing w:before="120"/>
        <w:ind w:firstLine="420"/>
        <w:rPr>
          <w:u w:val="single"/>
        </w:rPr>
      </w:pPr>
      <w:r>
        <w:rPr>
          <w:rFonts w:hint="eastAsia"/>
          <w:u w:val="single"/>
        </w:rPr>
        <w:t>任务解释</w:t>
      </w:r>
    </w:p>
    <w:p w14:paraId="320275BE">
      <w:pPr>
        <w:spacing w:before="120" w:line="300" w:lineRule="auto"/>
        <w:ind w:firstLine="420"/>
      </w:pPr>
      <w:r>
        <w:rPr>
          <w:rFonts w:hint="eastAsia"/>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236BB61E">
      <w:pPr>
        <w:spacing w:before="120" w:line="300" w:lineRule="auto"/>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76366A4C">
      <w:pPr>
        <w:spacing w:before="120"/>
        <w:ind w:firstLine="420"/>
        <w:rPr>
          <w:u w:val="single"/>
        </w:rPr>
      </w:pPr>
      <w:r>
        <w:rPr>
          <w:rFonts w:hint="eastAsia"/>
          <w:u w:val="single"/>
        </w:rPr>
        <w:t>近似实验方案</w:t>
      </w:r>
    </w:p>
    <w:p w14:paraId="2098D7CD">
      <w:pPr>
        <w:spacing w:before="120" w:line="300" w:lineRule="auto"/>
        <w:ind w:firstLine="420"/>
      </w:pPr>
      <w:r>
        <w:rPr>
          <w:rFonts w:hint="eastAsia"/>
        </w:rPr>
        <w:t>VideoMAE工作采用了基于遮掩自动编码(Masked Autoencoder, MAE)的自监督预训练方法，基于视频的MAE预训练流程如下图所示：</w:t>
      </w:r>
    </w:p>
    <w:p w14:paraId="229BA66C">
      <w:pPr>
        <w:spacing w:before="120" w:line="300" w:lineRule="auto"/>
        <w:ind w:firstLine="480"/>
        <w:jc w:val="center"/>
        <w:rPr>
          <w:rFonts w:ascii="宋体" w:hAnsi="宋体" w:cs="宋体"/>
          <w:sz w:val="24"/>
          <w:szCs w:val="24"/>
        </w:rPr>
      </w:pPr>
    </w:p>
    <w:p w14:paraId="484C33A2">
      <w:pPr>
        <w:spacing w:before="120" w:line="300" w:lineRule="auto"/>
        <w:ind w:firstLine="480"/>
        <w:jc w:val="center"/>
        <w:rPr>
          <w:rFonts w:ascii="宋体" w:hAnsi="宋体" w:cs="宋体"/>
          <w:sz w:val="24"/>
          <w:szCs w:val="24"/>
        </w:rPr>
      </w:pPr>
      <w:r>
        <w:rPr>
          <w:rFonts w:ascii="宋体" w:hAnsi="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b="12277"/>
                    <a:stretch>
                      <a:fillRect/>
                    </a:stretch>
                  </pic:blipFill>
                  <pic:spPr>
                    <a:xfrm>
                      <a:off x="0" y="0"/>
                      <a:ext cx="4727575" cy="1184275"/>
                    </a:xfrm>
                    <a:prstGeom prst="round2DiagRect">
                      <a:avLst/>
                    </a:prstGeom>
                    <a:noFill/>
                    <a:ln w="9525">
                      <a:noFill/>
                    </a:ln>
                  </pic:spPr>
                </pic:pic>
              </a:graphicData>
            </a:graphic>
          </wp:inline>
        </w:drawing>
      </w:r>
    </w:p>
    <w:p w14:paraId="2E65A2BF">
      <w:pPr>
        <w:spacing w:before="120" w:line="300" w:lineRule="auto"/>
        <w:ind w:firstLine="420"/>
        <w:jc w:val="center"/>
      </w:pPr>
      <w:r>
        <w:rPr>
          <w:rFonts w:hint="eastAsia"/>
        </w:rPr>
        <w:t>图1.VideoMAE预训练流程框架</w:t>
      </w:r>
    </w:p>
    <w:p w14:paraId="0C214B83">
      <w:pPr>
        <w:spacing w:before="120" w:line="300" w:lineRule="auto"/>
        <w:ind w:firstLine="420"/>
      </w:pPr>
      <w:r>
        <w:rPr>
          <w:rFonts w:hint="eastAsia"/>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r>
          <m:rPr>
            <m:sty m:val="p"/>
          </m:rPr>
          <w:rPr>
            <w:rFonts w:ascii="Cambria Math" w:hAnsi="Cambria Math" w:cs="Cambria Math"/>
          </w:rPr>
          <m:t>×</m:t>
        </m:r>
        <m:r>
          <m:rPr>
            <m:sty m:val="p"/>
          </m:rPr>
          <w:rPr>
            <w:rFonts w:ascii="Cambria Math" w:hAnsi="Cambria Math"/>
          </w:rPr>
          <m:t>3</m:t>
        </m:r>
      </m:oMath>
      <w:r>
        <w:rPr>
          <w:rFonts w:hint="eastAsia"/>
        </w:rPr>
        <w:t>，并使用立方体嵌入来获得视频令牌。其中我们将每个大小为</w:t>
      </w:r>
      <m:oMath>
        <m:r>
          <m:rPr>
            <m:sty m:val="p"/>
          </m:rPr>
          <w:rPr>
            <w:rFonts w:hint="eastAsia" w:ascii="Cambria Math" w:hAnsi="Cambria Math"/>
          </w:rPr>
          <m:t xml:space="preserve">2 </m:t>
        </m:r>
        <m:r>
          <m:rPr>
            <m:sty m:val="p"/>
          </m:rPr>
          <w:rPr>
            <w:rFonts w:ascii="Cambria Math" w:hAnsi="Cambria Math"/>
          </w:rPr>
          <m:t>×</m:t>
        </m:r>
        <m:r>
          <m:rPr>
            <m:sty m:val="p"/>
          </m:rPr>
          <w:rPr>
            <w:rFonts w:hint="eastAsia" w:ascii="Cambria Math" w:hAnsi="Cambria Math"/>
          </w:rPr>
          <m:t xml:space="preserve"> 16 × 16</m:t>
        </m:r>
      </m:oMath>
      <w:r>
        <w:rPr>
          <w:rFonts w:hint="eastAsia"/>
        </w:rPr>
        <w:t>的立方体视为一个令牌嵌入。因此，立方体嵌入层获得</w:t>
      </w:r>
      <m:oMath>
        <m:f>
          <m:fPr>
            <m:ctrlPr>
              <w:rPr>
                <w:rFonts w:ascii="Cambria Math" w:hAnsi="Cambria Math"/>
                <w:i/>
                <w:sz w:val="22"/>
                <w:szCs w:val="21"/>
              </w:rPr>
            </m:ctrlPr>
          </m:fPr>
          <m:num>
            <m:r>
              <m:rPr/>
              <w:rPr>
                <w:rFonts w:ascii="Cambria Math" w:hAnsi="Cambria Math"/>
                <w:sz w:val="22"/>
                <w:szCs w:val="21"/>
              </w:rPr>
              <m:t>t</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ℎ</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rPr>
        <w:t>个三维令牌，并将每个令牌映射到通道维度d。这种设计可以降低输入的时空维度，有助于缓解视频中的时空冗余。</w:t>
      </w:r>
    </w:p>
    <w:p w14:paraId="745A970F">
      <w:pPr>
        <w:spacing w:before="120" w:line="300" w:lineRule="auto"/>
        <w:ind w:firstLine="420"/>
      </w:pPr>
      <w:r>
        <w:rPr>
          <w:rFonts w:hint="eastAsia"/>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rPr>
        <w:t>。</w:t>
      </w:r>
    </w:p>
    <w:p w14:paraId="52621CAC">
      <w:pPr>
        <w:spacing w:before="120" w:line="300" w:lineRule="auto"/>
        <w:ind w:firstLine="420"/>
      </w:pPr>
      <w:r>
        <w:rPr>
          <w:rFonts w:hint="eastAsia"/>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18F2E700">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3994AFC9">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1828821F">
      <w:pPr>
        <w:spacing w:before="120" w:line="300" w:lineRule="auto"/>
        <w:ind w:firstLine="420"/>
      </w:pPr>
      <w:r>
        <w:rPr>
          <w:rFonts w:hint="eastAsia"/>
        </w:rPr>
        <w:t>其中针对前列腺癌症超声影像的数据方面有如下问题：</w:t>
      </w:r>
    </w:p>
    <w:p w14:paraId="65149967">
      <w:pPr>
        <w:numPr>
          <w:ilvl w:val="0"/>
          <w:numId w:val="2"/>
        </w:numPr>
        <w:spacing w:before="120" w:line="300" w:lineRule="auto"/>
        <w:ind w:firstLine="420"/>
      </w:pPr>
      <w:r>
        <w:rPr>
          <w:rFonts w:hint="eastAsia"/>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624E02D2">
      <w:pPr>
        <w:spacing w:before="120" w:line="300" w:lineRule="auto"/>
        <w:ind w:firstLine="420" w:firstLineChars="0"/>
      </w:pPr>
      <w:r>
        <w:rPr>
          <w:rFonts w:hint="eastAsia"/>
        </w:rPr>
        <w:t>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65CF1C89">
      <w:pPr>
        <w:spacing w:before="120" w:line="300" w:lineRule="auto"/>
        <w:ind w:firstLine="482"/>
        <w:jc w:val="center"/>
        <w:rPr>
          <w:b/>
          <w:bCs/>
          <w:sz w:val="24"/>
          <w:szCs w:val="24"/>
        </w:rPr>
      </w:pPr>
      <w:r>
        <w:rPr>
          <w:b/>
          <w:bCs/>
          <w:sz w:val="24"/>
          <w:szCs w:val="24"/>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3"/>
                    <a:stretch>
                      <a:fillRect/>
                    </a:stretch>
                  </pic:blipFill>
                  <pic:spPr>
                    <a:xfrm>
                      <a:off x="0" y="0"/>
                      <a:ext cx="2536825" cy="2387600"/>
                    </a:xfrm>
                    <a:prstGeom prst="rect">
                      <a:avLst/>
                    </a:prstGeom>
                    <a:noFill/>
                    <a:ln>
                      <a:noFill/>
                    </a:ln>
                  </pic:spPr>
                </pic:pic>
              </a:graphicData>
            </a:graphic>
          </wp:inline>
        </w:drawing>
      </w:r>
    </w:p>
    <w:p w14:paraId="5586A356">
      <w:pPr>
        <w:spacing w:before="120" w:line="300" w:lineRule="auto"/>
        <w:ind w:firstLine="420"/>
        <w:jc w:val="center"/>
      </w:pPr>
      <w:r>
        <w:rPr>
          <w:rFonts w:hint="eastAsia"/>
        </w:rPr>
        <w:t xml:space="preserve">  图2.A)MedSAM2模型分割结果；B)Deeplabv3模型分割结果；</w:t>
      </w:r>
    </w:p>
    <w:p w14:paraId="293505D7">
      <w:pPr>
        <w:spacing w:before="120" w:line="300" w:lineRule="auto"/>
        <w:ind w:firstLine="420"/>
        <w:jc w:val="center"/>
      </w:pPr>
      <w:r>
        <w:rPr>
          <w:rFonts w:hint="eastAsia"/>
        </w:rPr>
        <w:t>C)nnUNet2++模型分割结果；D)超声影像原图像；</w:t>
      </w:r>
    </w:p>
    <w:p w14:paraId="722DDCA6">
      <w:pPr>
        <w:numPr>
          <w:ilvl w:val="0"/>
          <w:numId w:val="2"/>
        </w:numPr>
        <w:spacing w:before="120" w:line="300" w:lineRule="auto"/>
        <w:ind w:firstLine="420"/>
      </w:pPr>
      <w:r>
        <w:rPr>
          <w:rFonts w:hint="eastAsia"/>
        </w:rPr>
        <w:t>现有模型未充分考虑多医生采样之间的个体差异、诊断风格和数据质量波动，导致验证结果不稳定，无法满足医工结合应用中对准确性和鲁棒性的高要求。</w:t>
      </w:r>
    </w:p>
    <w:p w14:paraId="6476BA73">
      <w:pPr>
        <w:pStyle w:val="17"/>
        <w:spacing w:before="120" w:line="360" w:lineRule="exact"/>
        <w:ind w:firstLine="420" w:firstLineChars="0"/>
        <w:rPr>
          <w:sz w:val="21"/>
        </w:rPr>
      </w:pPr>
      <w:r>
        <w:rPr>
          <w:rFonts w:hint="eastAsia"/>
          <w:sz w:val="21"/>
        </w:rPr>
        <w:t>在下游微调时，利用在重建训练阶段预训练好的遮掩得分网络，将输入的视频中的重要区域的块作为额外提示添加给特征辅助分类头训练。来解决多医生采样之间的个体差异、诊断风格和数据质量波动带来的模型效果问题。</w:t>
      </w:r>
    </w:p>
    <w:p w14:paraId="39DBA837">
      <w:pPr>
        <w:pStyle w:val="17"/>
        <w:numPr>
          <w:ilvl w:val="0"/>
          <w:numId w:val="3"/>
        </w:numPr>
        <w:spacing w:before="120" w:line="360" w:lineRule="exact"/>
        <w:ind w:firstLine="0" w:firstLineChars="0"/>
        <w:rPr>
          <w:rFonts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AD12909">
      <w:pPr>
        <w:spacing w:before="120"/>
        <w:ind w:firstLine="420"/>
        <w:rPr>
          <w:u w:val="single"/>
        </w:rPr>
      </w:pPr>
      <w:r>
        <w:rPr>
          <w:rFonts w:hint="eastAsia"/>
          <w:u w:val="single"/>
        </w:rPr>
        <w:t>技术问题</w:t>
      </w:r>
    </w:p>
    <w:p w14:paraId="05201D0F">
      <w:pPr>
        <w:spacing w:before="120"/>
        <w:ind w:firstLine="420"/>
        <w:rPr>
          <w:rFonts w:ascii="宋体"/>
          <w:color w:val="0000FF"/>
          <w:szCs w:val="21"/>
        </w:rPr>
      </w:pPr>
      <w:r>
        <w:t>本发明涉及</w:t>
      </w:r>
      <w:r>
        <w:rPr>
          <w:rFonts w:hint="eastAsia"/>
        </w:rPr>
        <w:t>表征学习领域</w:t>
      </w:r>
      <w:r>
        <w:t>，具体涉及</w:t>
      </w:r>
      <w:r>
        <w:rPr>
          <w:rFonts w:hint="eastAsia"/>
        </w:rPr>
        <w:t>遮掩自动编码器的重建</w:t>
      </w:r>
      <w:r>
        <w:t>方法</w:t>
      </w:r>
      <w:r>
        <w:rPr>
          <w:rFonts w:hint="eastAsia"/>
        </w:rPr>
        <w:t>。</w:t>
      </w:r>
    </w:p>
    <w:p w14:paraId="3C07734F">
      <w:pPr>
        <w:spacing w:before="120"/>
        <w:ind w:firstLine="420"/>
        <w:rPr>
          <w:u w:val="single"/>
        </w:rPr>
      </w:pPr>
      <w:r>
        <w:rPr>
          <w:rFonts w:hint="eastAsia"/>
          <w:u w:val="single"/>
        </w:rPr>
        <w:t>技术方案</w:t>
      </w:r>
    </w:p>
    <w:p w14:paraId="04DF73A5">
      <w:pPr>
        <w:spacing w:before="120"/>
        <w:ind w:firstLine="420"/>
        <w:jc w:val="center"/>
        <w:rPr>
          <w:rFonts w:hint="eastAsia" w:eastAsia="宋体"/>
          <w:u w:val="single"/>
          <w:lang w:eastAsia="zh-CN"/>
        </w:rPr>
      </w:pPr>
      <w:r>
        <w:rPr>
          <w:rFonts w:hint="eastAsia" w:eastAsia="宋体"/>
          <w:u w:val="single"/>
          <w:lang w:eastAsia="zh-CN"/>
        </w:rPr>
        <w:drawing>
          <wp:inline distT="0" distB="0" distL="114300" distR="114300">
            <wp:extent cx="5279390" cy="2183130"/>
            <wp:effectExtent l="0" t="0" r="3810" b="1270"/>
            <wp:docPr id="4" name="图片 4" descr="174530490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304906909"/>
                    <pic:cNvPicPr>
                      <a:picLocks noChangeAspect="1"/>
                    </pic:cNvPicPr>
                  </pic:nvPicPr>
                  <pic:blipFill>
                    <a:blip r:embed="rId14"/>
                    <a:stretch>
                      <a:fillRect/>
                    </a:stretch>
                  </pic:blipFill>
                  <pic:spPr>
                    <a:xfrm>
                      <a:off x="0" y="0"/>
                      <a:ext cx="5279390" cy="2183130"/>
                    </a:xfrm>
                    <a:prstGeom prst="rect">
                      <a:avLst/>
                    </a:prstGeom>
                  </pic:spPr>
                </pic:pic>
              </a:graphicData>
            </a:graphic>
          </wp:inline>
        </w:drawing>
      </w:r>
    </w:p>
    <w:p w14:paraId="0B644188">
      <w:pPr>
        <w:spacing w:before="120" w:line="300" w:lineRule="auto"/>
        <w:ind w:firstLine="420"/>
        <w:jc w:val="center"/>
      </w:pPr>
      <w:r>
        <w:rPr>
          <w:rFonts w:hint="eastAsia"/>
        </w:rPr>
        <w:t>图3.本专利框架流程</w:t>
      </w:r>
    </w:p>
    <w:p w14:paraId="2032C7EA">
      <w:pPr>
        <w:spacing w:before="120" w:line="300" w:lineRule="auto"/>
        <w:ind w:firstLine="420"/>
      </w:pPr>
      <w:r>
        <w:rPr>
          <w:rFonts w:hint="eastAsia"/>
        </w:rPr>
        <w:t>一种基于多专家机制的前列腺癌肿瘤分期分类方法，主要流程图如图3所示，具体而言包含以下步骤：</w:t>
      </w:r>
    </w:p>
    <w:p w14:paraId="572C16C0">
      <w:pPr>
        <w:spacing w:before="120" w:line="300" w:lineRule="auto"/>
        <w:ind w:firstLine="420" w:firstLineChars="0"/>
        <w:jc w:val="left"/>
      </w:pPr>
      <w:r>
        <w:rPr>
          <w:rFonts w:hint="eastAsia"/>
        </w:rPr>
        <w:t>步骤1 数据预处理</w:t>
      </w:r>
    </w:p>
    <w:p w14:paraId="5171AD2C">
      <w:pPr>
        <w:spacing w:before="120" w:line="300" w:lineRule="auto"/>
        <w:ind w:firstLine="420"/>
      </w:pPr>
      <w:r>
        <w:rPr>
          <w:rFonts w:hint="eastAsia"/>
        </w:rPr>
        <w:t>将视频切分为多个等长的剪辑片段，片段长度固定。将片段中的每一帧通过MedSAM2，Deeplabv3，nnUNet2++，三个预训练的分割大模型获得三个模型对帧的分割结果。</w:t>
      </w:r>
    </w:p>
    <w:p w14:paraId="110D60A1">
      <w:pPr>
        <w:spacing w:before="120" w:line="300" w:lineRule="auto"/>
        <w:ind w:firstLine="420" w:firstLineChars="0"/>
        <w:jc w:val="left"/>
      </w:pPr>
      <w:r>
        <w:rPr>
          <w:rFonts w:hint="eastAsia"/>
        </w:rPr>
        <w:t>步骤2 遮掩得分生成</w:t>
      </w:r>
    </w:p>
    <w:p w14:paraId="4940CCB1">
      <w:pPr>
        <w:spacing w:before="120" w:line="300" w:lineRule="auto"/>
        <w:ind w:firstLine="420"/>
      </w:pPr>
      <w:r>
        <w:rPr>
          <w:rFonts w:hint="eastAsia"/>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55F971B9">
      <w:pPr>
        <w:spacing w:before="120" w:line="300" w:lineRule="auto"/>
        <w:ind w:firstLine="420"/>
      </w:pPr>
      <w:r>
        <w:rPr>
          <w:rFonts w:hint="eastAsia"/>
        </w:rPr>
        <w:t>步骤3 预训练编码器</w:t>
      </w:r>
    </w:p>
    <w:p w14:paraId="5D8CB4BA">
      <w:pPr>
        <w:spacing w:before="120" w:line="300" w:lineRule="auto"/>
        <w:ind w:firstLine="420"/>
        <w:rPr>
          <w:rFonts w:hAnsi="Cambria Math"/>
          <w:szCs w:val="21"/>
        </w:rPr>
      </w:pPr>
      <w:r>
        <w:rPr>
          <w:rFonts w:hint="eastAsia"/>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来更新视觉转换器，通过重建内容和原内容差距和遮掩得分网络计算采样损失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szCs w:val="21"/>
        </w:rPr>
        <w:t>来更新遮掩得分网络。</w:t>
      </w:r>
    </w:p>
    <w:p w14:paraId="79FE1A56">
      <w:pPr>
        <w:spacing w:before="120" w:line="300" w:lineRule="auto"/>
        <w:ind w:firstLine="420"/>
        <w:rPr>
          <w:rFonts w:hAnsi="Cambria Math"/>
          <w:szCs w:val="21"/>
        </w:rPr>
      </w:pPr>
      <w:r>
        <w:rPr>
          <w:rFonts w:hint="eastAsia" w:hAnsi="Cambria Math"/>
          <w:szCs w:val="21"/>
        </w:rPr>
        <w:t>步骤4 微调编码器、分类头</w:t>
      </w:r>
    </w:p>
    <w:p w14:paraId="24453C1F">
      <w:pPr>
        <w:spacing w:before="120" w:line="300" w:lineRule="auto"/>
        <w:ind w:firstLine="420" w:firstLineChars="0"/>
        <w:rPr>
          <w:rFonts w:hAnsi="Cambria Math"/>
          <w:szCs w:val="21"/>
        </w:rPr>
      </w:pPr>
      <w:r>
        <w:rPr>
          <w:rFonts w:hint="eastAsia" w:hAnsi="Cambria Math"/>
          <w:szCs w:val="21"/>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0F2033E0">
      <w:pPr>
        <w:spacing w:before="120"/>
        <w:ind w:firstLine="420"/>
        <w:rPr>
          <w:u w:val="single"/>
        </w:rPr>
      </w:pPr>
      <w:r>
        <w:rPr>
          <w:rFonts w:hint="eastAsia"/>
          <w:u w:val="single"/>
        </w:rPr>
        <w:t>技术效果</w:t>
      </w:r>
    </w:p>
    <w:p w14:paraId="6172DE35">
      <w:pPr>
        <w:spacing w:before="120"/>
        <w:ind w:firstLine="420"/>
      </w:pPr>
      <w:r>
        <w:rPr>
          <w:rFonts w:hint="eastAsia"/>
        </w:rPr>
        <w:t>与现有技术相比，本发明具有以下有益效果：</w:t>
      </w:r>
    </w:p>
    <w:p w14:paraId="0EC37C30">
      <w:pPr>
        <w:numPr>
          <w:ilvl w:val="0"/>
          <w:numId w:val="4"/>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7C7FE43F">
      <w:pPr>
        <w:numPr>
          <w:ilvl w:val="0"/>
          <w:numId w:val="4"/>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51644889">
      <w:pPr>
        <w:spacing w:before="120"/>
        <w:ind w:firstLine="420"/>
        <w:rPr>
          <w:u w:val="single"/>
        </w:rPr>
      </w:pPr>
      <w:r>
        <w:rPr>
          <w:rFonts w:hint="eastAsia"/>
          <w:u w:val="single"/>
        </w:rPr>
        <w:t>附图说明</w:t>
      </w:r>
    </w:p>
    <w:p w14:paraId="0F3F8F28">
      <w:pPr>
        <w:spacing w:before="0" w:beforeLines="0"/>
        <w:ind w:firstLine="420"/>
      </w:pPr>
      <w:r>
        <w:rPr>
          <w:rFonts w:hint="eastAsia"/>
        </w:rPr>
        <w:t>图1.遮掩自动编码器在视频中的应用VideoMAE示意</w:t>
      </w:r>
    </w:p>
    <w:p w14:paraId="1463ADC7">
      <w:pPr>
        <w:spacing w:before="0" w:beforeLines="0"/>
        <w:ind w:firstLine="420"/>
      </w:pPr>
      <w:r>
        <w:rPr>
          <w:rFonts w:hint="eastAsia"/>
        </w:rPr>
        <w:t>图2.三个医学分割模型的可视化</w:t>
      </w:r>
    </w:p>
    <w:p w14:paraId="4F0E6044">
      <w:pPr>
        <w:spacing w:before="0" w:beforeLines="0"/>
        <w:ind w:firstLine="420"/>
      </w:pPr>
      <w:r>
        <w:rPr>
          <w:rFonts w:hint="eastAsia"/>
        </w:rPr>
        <w:t>图3.本专利的框架流程</w:t>
      </w:r>
    </w:p>
    <w:p w14:paraId="758FFAA6">
      <w:pPr>
        <w:spacing w:before="0" w:beforeLines="0"/>
        <w:ind w:firstLine="420"/>
      </w:pPr>
      <w:r>
        <w:rPr>
          <w:rFonts w:hint="eastAsia"/>
        </w:rPr>
        <w:t>图4.本专利的遮掩得分网络框架流程</w:t>
      </w:r>
    </w:p>
    <w:p w14:paraId="2F8FAC5D">
      <w:pPr>
        <w:spacing w:before="0" w:beforeLines="0"/>
        <w:ind w:firstLine="420"/>
      </w:pPr>
      <w:r>
        <w:rPr>
          <w:rFonts w:hint="eastAsia"/>
        </w:rPr>
        <w:t>图5.本专利预训练参数更新流程</w:t>
      </w:r>
    </w:p>
    <w:p w14:paraId="35D44194">
      <w:pPr>
        <w:spacing w:before="0" w:beforeLines="0"/>
        <w:ind w:firstLine="420"/>
      </w:pPr>
      <w:r>
        <w:rPr>
          <w:rFonts w:hint="eastAsia"/>
        </w:rPr>
        <w:t>图6.本专利微调参数更新流程</w:t>
      </w:r>
    </w:p>
    <w:p w14:paraId="2AE4A3C8">
      <w:pPr>
        <w:spacing w:before="120"/>
        <w:ind w:firstLine="420"/>
        <w:rPr>
          <w:rFonts w:hAnsi="Cambria Math"/>
          <w:szCs w:val="21"/>
        </w:rPr>
      </w:pPr>
      <w:r>
        <w:rPr>
          <w:rFonts w:hint="eastAsia"/>
          <w:u w:val="single"/>
        </w:rPr>
        <w:t>具体实施方式</w:t>
      </w:r>
    </w:p>
    <w:p w14:paraId="206C0168">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6A7EACC6">
      <w:pPr>
        <w:spacing w:before="120" w:beforeLines="0"/>
        <w:ind w:firstLine="420" w:firstLineChars="0"/>
      </w:pPr>
      <w:r>
        <w:rPr>
          <w:rFonts w:hint="eastAsia"/>
        </w:rPr>
        <w:t>一种基于多专家机制的前列腺癌肿瘤分期分类方法包括如下具体步骤：</w:t>
      </w:r>
    </w:p>
    <w:p w14:paraId="18B71866">
      <w:pPr>
        <w:spacing w:before="120" w:beforeLines="0"/>
        <w:ind w:firstLine="420" w:firstLineChars="0"/>
      </w:pPr>
      <w:r>
        <w:rPr>
          <w:rFonts w:hint="eastAsia"/>
        </w:rPr>
        <w:t>步骤1：数据预处理</w:t>
      </w:r>
    </w:p>
    <w:p w14:paraId="432FCD2F">
      <w:pPr>
        <w:spacing w:before="120" w:beforeLines="0"/>
        <w:ind w:firstLine="420" w:firstLineChars="0"/>
      </w:pPr>
      <w:r>
        <w:rPr>
          <w:rFonts w:hint="eastAsia"/>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rPr>
            </m:ctrlPr>
          </m:fPr>
          <m:num>
            <m:r>
              <m:rPr/>
              <w:rPr>
                <w:rFonts w:ascii="Cambria Math" w:hAnsi="Cambria Math"/>
                <w:sz w:val="24"/>
                <w:szCs w:val="22"/>
              </w:rPr>
              <m:t>T</m:t>
            </m:r>
            <m:ctrlPr>
              <w:rPr>
                <w:rFonts w:ascii="Cambria Math" w:hAnsi="Cambria Math"/>
                <w:i/>
                <w:sz w:val="24"/>
                <w:szCs w:val="22"/>
              </w:rPr>
            </m:ctrlPr>
          </m:num>
          <m:den>
            <m:r>
              <m:rPr/>
              <w:rPr>
                <w:rFonts w:ascii="Cambria Math" w:hAnsi="Cambria Math"/>
                <w:sz w:val="24"/>
                <w:szCs w:val="22"/>
              </w:rPr>
              <m:t>L</m:t>
            </m:r>
            <m:ctrlPr>
              <w:rPr>
                <w:rFonts w:ascii="Cambria Math" w:hAnsi="Cambria Math"/>
                <w:i/>
                <w:sz w:val="24"/>
                <w:szCs w:val="22"/>
              </w:rPr>
            </m:ctrlPr>
          </m:den>
        </m:f>
      </m:oMath>
      <w:r>
        <w:rPr>
          <w:rFonts w:hint="eastAsia"/>
        </w:rPr>
        <w:t>，从第1帧到第step帧。其中每一帧开始往下均匀的采样，每隔step帧就采样进入本剪辑内，最终获得多个等长剪辑片段：</w:t>
      </w:r>
    </w:p>
    <w:p w14:paraId="1BDF4C88">
      <w:pPr>
        <w:spacing w:before="120"/>
        <w:ind w:firstLine="420"/>
        <w:jc w:val="right"/>
        <w:rPr>
          <w:rFonts w:hAnsi="Cambria Math"/>
        </w:rPr>
      </w:pPr>
      <m:oMath>
        <m:sSubSup>
          <m:sSubSupPr>
            <m:ctrlPr>
              <w:rPr>
                <w:rFonts w:ascii="Cambria Math" w:hAnsi="Cambria Math"/>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rPr>
            </m:ctrlPr>
          </m:e>
          <m:sub>
            <m:r>
              <m:rPr>
                <m:sty m:val="p"/>
              </m:rPr>
              <w:rPr>
                <w:rFonts w:ascii="Cambria Math" w:hAnsi="Cambria Math"/>
              </w:rPr>
              <m:t>N=T//L</m:t>
            </m:r>
            <m:ctrlPr>
              <w:rPr>
                <w:rFonts w:ascii="Cambria Math" w:hAnsi="Cambria Math"/>
              </w:rPr>
            </m:ctrlPr>
          </m:sub>
          <m:sup>
            <m:r>
              <m:rPr>
                <m:sty m:val="p"/>
              </m:rPr>
              <w:rPr>
                <w:rFonts w:ascii="Cambria Math" w:hAnsi="Cambria Math"/>
              </w:rPr>
              <m:t>i∈(1,N)</m:t>
            </m:r>
            <m:ctrlPr>
              <w:rPr>
                <w:rFonts w:ascii="Cambria Math" w:hAnsi="Cambria Math"/>
              </w:rPr>
            </m:ctrlPr>
          </m:sup>
        </m:sSubSup>
      </m:oMath>
      <w:r>
        <w:rPr>
          <w:rFonts w:hint="eastAsia" w:hAnsi="Cambria Math"/>
        </w:rPr>
        <w:t xml:space="preserve">                           </w:t>
      </w:r>
      <w:r>
        <w:rPr>
          <w:rFonts w:hint="eastAsia"/>
        </w:rPr>
        <w:t>（1）</w:t>
      </w:r>
    </w:p>
    <w:p w14:paraId="6087C9AE">
      <w:pPr>
        <w:spacing w:before="120" w:beforeLines="0"/>
        <w:ind w:firstLine="420" w:firstLineChars="0"/>
      </w:pPr>
      <w:r>
        <w:rPr>
          <w:rFonts w:hint="eastAsia" w:hAnsi="Cambria Math"/>
        </w:rPr>
        <w:t>此时经过预训练的分割模型</w:t>
      </w:r>
      <w:r>
        <w:rPr>
          <w:rFonts w:hint="eastAsia"/>
        </w:rPr>
        <w:t>MedSAM2，Deeplabv3，nnUNet2++我们获得对应的分割内容：</w:t>
      </w:r>
    </w:p>
    <w:p w14:paraId="545114F7">
      <w:pPr>
        <w:spacing w:before="120" w:beforeLines="0"/>
        <w:ind w:firstLine="420" w:firstLineChars="0"/>
        <w:jc w:val="right"/>
        <w:rPr>
          <w:rFonts w:hAnsi="Cambria Math"/>
        </w:rPr>
      </w:pP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2</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16</m:t>
                </m:r>
                <m:ctrlPr>
                  <w:rPr>
                    <w:rFonts w:ascii="Cambria Math" w:hAnsi="Cambria Math"/>
                    <w:iCs/>
                  </w:rPr>
                </m:ctrlPr>
              </m:sup>
            </m:sSubSup>
            <m:r>
              <m:rPr>
                <m:sty m:val="p"/>
              </m:rPr>
              <w:rPr>
                <w:rFonts w:ascii="Cambria Math" w:hAnsi="Cambria Math"/>
              </w:rPr>
              <m:t>}</m:t>
            </m:r>
            <m:ctrlPr>
              <w:rPr>
                <w:rFonts w:ascii="Cambria Math" w:hAnsi="Cambria Math"/>
                <w:iCs/>
              </w:rPr>
            </m:ctrlPr>
          </m:e>
          <m:sub>
            <m:r>
              <m:rPr>
                <m:sty m:val="p"/>
              </m:rPr>
              <w:rPr>
                <w:rFonts w:ascii="Cambria Math" w:hAnsi="Cambria Math"/>
              </w:rPr>
              <m:t>N=T//L</m:t>
            </m:r>
            <m:ctrlPr>
              <w:rPr>
                <w:rFonts w:ascii="Cambria Math" w:hAnsi="Cambria Math"/>
                <w:iCs/>
              </w:rPr>
            </m:ctrlPr>
          </m:sub>
          <m:sup>
            <m:r>
              <m:rPr>
                <m:sty m:val="p"/>
              </m:rPr>
              <w:rPr>
                <w:rFonts w:ascii="Cambria Math" w:hAnsi="Cambria Math"/>
              </w:rPr>
              <m:t>i∈(1,N)</m:t>
            </m:r>
            <m:ctrlPr>
              <w:rPr>
                <w:rFonts w:ascii="Cambria Math" w:hAnsi="Cambria Math"/>
                <w:iCs/>
              </w:rPr>
            </m:ctrlPr>
          </m:sup>
        </m:sSubSup>
        <m:r>
          <m:rPr>
            <m:sty m:val="p"/>
          </m:rPr>
          <w:rPr>
            <w:rFonts w:ascii="Cambria Math" w:hAnsi="Cambria Math"/>
          </w:rPr>
          <m:t>(j=1,2,3)</m:t>
        </m:r>
      </m:oMath>
      <w:r>
        <w:rPr>
          <w:rFonts w:hint="eastAsia" w:hAnsi="Cambria Math"/>
          <w:iCs/>
        </w:rPr>
        <w:t xml:space="preserve">                          </w:t>
      </w:r>
      <w:r>
        <w:rPr>
          <w:rFonts w:hint="eastAsia"/>
        </w:rPr>
        <w:t>（2）</w:t>
      </w:r>
    </w:p>
    <w:p w14:paraId="459E3221">
      <w:pPr>
        <w:spacing w:before="120" w:beforeLines="0"/>
        <w:ind w:firstLine="420" w:firstLineChars="0"/>
        <w:rPr>
          <w:rFonts w:hAnsi="Cambria Math"/>
        </w:rPr>
      </w:pPr>
      <w:r>
        <w:rPr>
          <w:rFonts w:hint="eastAsia" w:hAnsi="Cambria Math"/>
        </w:rPr>
        <w:t>步骤2：遮掩得分生成</w:t>
      </w:r>
    </w:p>
    <w:p w14:paraId="60F5F321">
      <w:pPr>
        <w:spacing w:before="120" w:beforeLines="0"/>
        <w:ind w:firstLine="420" w:firstLineChars="0"/>
        <w:rPr>
          <w:rFonts w:hAnsi="Cambria Math"/>
        </w:rPr>
      </w:pPr>
      <w:r>
        <w:rPr>
          <w:rFonts w:hint="eastAsia" w:hAnsi="Cambria Math"/>
        </w:rPr>
        <w:t>我们采用联合时空的立方嵌入(Embedding)，具体来说对于一个剪辑Clip大小为</w:t>
      </w:r>
      <m:oMath>
        <m:r>
          <m:rPr>
            <m:sty m:val="p"/>
          </m:rPr>
          <w:rPr>
            <w:rFonts w:ascii="Cambria Math" w:hAnsi="Cambria Math"/>
          </w:rPr>
          <m:t>L</m:t>
        </m:r>
        <m:r>
          <m:rPr>
            <m:sty m:val="p"/>
          </m:rPr>
          <w:rPr>
            <w:rFonts w:ascii="Cambria Math" w:hAnsi="Cambria Math" w:cs="Cambria Math"/>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oMath>
      <w:r>
        <w:rPr>
          <w:rFonts w:hint="eastAsia" w:hAnsi="Cambria Math"/>
        </w:rPr>
        <w:t>，我们在时间上采样2单位，空间上采样</w:t>
      </w:r>
      <m:oMath>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单位，就获得了N=(</w:t>
      </w:r>
      <m:oMath>
        <m:f>
          <m:fPr>
            <m:ctrlPr>
              <w:rPr>
                <w:rFonts w:ascii="Cambria Math" w:hAnsi="Cambria Math"/>
                <w:i/>
                <w:sz w:val="22"/>
                <w:szCs w:val="21"/>
              </w:rPr>
            </m:ctrlPr>
          </m:fPr>
          <m:num>
            <m:r>
              <m:rPr/>
              <w:rPr>
                <w:rFonts w:ascii="Cambria Math" w:hAnsi="Cambria Math"/>
                <w:sz w:val="22"/>
                <w:szCs w:val="21"/>
              </w:rPr>
              <m:t>L</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H</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hAnsi="Cambria Math" w:cs="Cambria Math"/>
        </w:rPr>
        <w:t>)个大小为</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的块，将每个令牌映射成</w:t>
      </w:r>
      <m:oMath>
        <m:r>
          <m:rPr>
            <m:sty m:val="p"/>
          </m:rPr>
          <w:rPr>
            <w:rFonts w:hint="eastAsia" w:ascii="Cambria Math" w:hAnsi="Cambria Math"/>
          </w:rPr>
          <m:t>d=768</m:t>
        </m:r>
      </m:oMath>
      <w:r>
        <w:rPr>
          <w:rFonts w:hint="eastAsia" w:hAnsi="Cambria Math"/>
        </w:rPr>
        <w:t>维度。这样做来缓解时空冗余。</w:t>
      </w:r>
    </w:p>
    <w:p w14:paraId="567D1C58">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4799330" cy="2274570"/>
            <wp:effectExtent l="0" t="0" r="1270" b="11430"/>
            <wp:docPr id="5" name="图片 5" descr="17453049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5304942012"/>
                    <pic:cNvPicPr>
                      <a:picLocks noChangeAspect="1"/>
                    </pic:cNvPicPr>
                  </pic:nvPicPr>
                  <pic:blipFill>
                    <a:blip r:embed="rId15"/>
                    <a:stretch>
                      <a:fillRect/>
                    </a:stretch>
                  </pic:blipFill>
                  <pic:spPr>
                    <a:xfrm>
                      <a:off x="0" y="0"/>
                      <a:ext cx="4799330" cy="2274570"/>
                    </a:xfrm>
                    <a:prstGeom prst="rect">
                      <a:avLst/>
                    </a:prstGeom>
                  </pic:spPr>
                </pic:pic>
              </a:graphicData>
            </a:graphic>
          </wp:inline>
        </w:drawing>
      </w:r>
    </w:p>
    <w:p w14:paraId="18B53044">
      <w:pPr>
        <w:spacing w:before="120" w:beforeLines="0"/>
        <w:ind w:firstLine="420" w:firstLineChars="0"/>
        <w:jc w:val="center"/>
        <w:rPr>
          <w:rFonts w:hAnsi="Cambria Math"/>
        </w:rPr>
      </w:pPr>
      <w:r>
        <w:rPr>
          <w:rFonts w:hint="eastAsia" w:hAnsi="Cambria Math"/>
        </w:rPr>
        <w:t>图4.遮掩得分网络</w:t>
      </w:r>
    </w:p>
    <w:p w14:paraId="7A096170">
      <w:pPr>
        <w:spacing w:before="120" w:beforeLines="0"/>
        <w:ind w:firstLine="420" w:firstLineChars="0"/>
        <w:rPr>
          <w:rFonts w:hAnsi="Cambria Math"/>
        </w:rPr>
      </w:pPr>
      <w:r>
        <w:rPr>
          <w:rFonts w:hint="eastAsia" w:hAnsi="Cambria Math"/>
        </w:rPr>
        <w:t>对于这些令牌，我们输入遮掩得分网络，网络架构如图4所示，遮掩得分网络分为3个独立的多头注意力块和全连接层，具体计算如下：对于已经嵌入的令牌</w:t>
      </w:r>
      <m:oMath>
        <m:r>
          <m:rPr>
            <m:sty m:val="p"/>
          </m:rPr>
          <w:rPr>
            <w:rFonts w:ascii="Cambria Math" w:hAnsi="Cambria Math"/>
          </w:rPr>
          <m:t>x</m:t>
        </m:r>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R</m:t>
            </m:r>
            <m:ctrlPr>
              <w:rPr>
                <w:rFonts w:ascii="Cambria Math" w:hAnsi="Cambria Math" w:cs="Cambria Math"/>
              </w:rPr>
            </m:ctrlPr>
          </m:e>
          <m:sup>
            <m:r>
              <m:rPr>
                <m:sty m:val="p"/>
              </m:rPr>
              <w:rPr>
                <w:rFonts w:ascii="Cambria Math" w:hAnsi="Cambria Math"/>
              </w:rPr>
              <m:t>N×d</m:t>
            </m:r>
            <m:r>
              <m:rPr>
                <m:sty m:val="p"/>
              </m:rPr>
              <w:rPr>
                <w:rFonts w:ascii="Cambria Math" w:hAnsi="Cambria Math" w:cs="Cambria Math"/>
              </w:rPr>
              <m:t xml:space="preserve"> </m:t>
            </m:r>
            <m:ctrlPr>
              <w:rPr>
                <w:rFonts w:ascii="Cambria Math" w:hAnsi="Cambria Math" w:cs="Cambria Math"/>
              </w:rPr>
            </m:ctrlPr>
          </m:sup>
        </m:sSup>
      </m:oMath>
    </w:p>
    <w:p w14:paraId="54EC037E">
      <w:pPr>
        <w:spacing w:before="120" w:beforeLines="0"/>
        <w:ind w:firstLine="420" w:firstLineChars="0"/>
        <w:jc w:val="right"/>
        <w:rPr>
          <w:rFonts w:hAnsi="Cambria Math" w:cs="Cambria Math"/>
        </w:rPr>
      </w:pPr>
      <m:oMath>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sz w:val="22"/>
          </w:rPr>
          <m:t>=</m:t>
        </m:r>
        <m:sSub>
          <m:sSubPr>
            <m:ctrlPr>
              <w:rPr>
                <w:rFonts w:ascii="Cambria Math" w:hAnsi="Cambria Math"/>
                <w:sz w:val="22"/>
                <w:szCs w:val="21"/>
              </w:rPr>
            </m:ctrlPr>
          </m:sSubPr>
          <m:e>
            <m:r>
              <m:rPr>
                <m:sty m:val="p"/>
              </m:rPr>
              <w:rPr>
                <w:rFonts w:ascii="Cambria Math" w:hAnsi="Cambria Math"/>
                <w:sz w:val="22"/>
                <w:szCs w:val="21"/>
              </w:rPr>
              <m:t>MHA(x)</m:t>
            </m:r>
            <m:ctrlPr>
              <w:rPr>
                <w:rFonts w:ascii="Cambria Math" w:hAnsi="Cambria Math"/>
                <w:sz w:val="22"/>
                <w:szCs w:val="21"/>
              </w:rPr>
            </m:ctrlPr>
          </m:e>
          <m:sub>
            <m:r>
              <m:rPr>
                <m:sty m:val="p"/>
              </m:rPr>
              <w:rPr>
                <w:rFonts w:ascii="Cambria Math" w:hAnsi="Cambria Math"/>
                <w:sz w:val="22"/>
                <w:szCs w:val="21"/>
              </w:rPr>
              <m:t>j</m:t>
            </m:r>
            <m:ctrlPr>
              <w:rPr>
                <w:rFonts w:ascii="Cambria Math" w:hAnsi="Cambria Math"/>
                <w:sz w:val="22"/>
                <w:szCs w:val="21"/>
              </w:rPr>
            </m:ctrlPr>
          </m:sub>
        </m:sSub>
        <m:r>
          <m:rPr>
            <m:sty m:val="p"/>
          </m:rPr>
          <w:rPr>
            <w:rFonts w:ascii="Cambria Math" w:hAnsi="Cambria Math"/>
            <w:sz w:val="22"/>
          </w:rPr>
          <m:t>; j∈(1,2,3),y</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sz w:val="22"/>
              </w:rPr>
              <m:t>N×d</m:t>
            </m:r>
            <m:r>
              <m:rPr>
                <m:sty m:val="p"/>
              </m:rPr>
              <w:rPr>
                <w:rFonts w:ascii="Cambria Math" w:hAnsi="Cambria Math" w:cs="Cambria Math"/>
                <w:sz w:val="22"/>
              </w:rPr>
              <m:t xml:space="preserve"> </m:t>
            </m:r>
            <m:ctrlPr>
              <w:rPr>
                <w:rFonts w:ascii="Cambria Math" w:hAnsi="Cambria Math" w:cs="Cambria Math"/>
                <w:sz w:val="22"/>
              </w:rPr>
            </m:ctrlPr>
          </m:sup>
        </m:sSup>
      </m:oMath>
      <w:r>
        <w:rPr>
          <w:rFonts w:hint="eastAsia" w:hAnsi="Cambria Math" w:cs="Cambria Math"/>
          <w:sz w:val="22"/>
        </w:rPr>
        <w:t xml:space="preserve">                     </w:t>
      </w:r>
      <w:r>
        <w:rPr>
          <w:rFonts w:hint="eastAsia"/>
        </w:rPr>
        <w:t>（3）</w:t>
      </w:r>
    </w:p>
    <w:p w14:paraId="7D4ED1B6">
      <w:pPr>
        <w:spacing w:before="120" w:beforeLines="0"/>
        <w:ind w:firstLine="420" w:firstLineChars="0"/>
        <w:jc w:val="right"/>
        <w:rPr>
          <w:rFonts w:hAnsi="Cambria Math" w:cs="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FC(</m:t>
        </m:r>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cs="Cambria Math"/>
          </w:rPr>
          <m:t xml:space="preserve">); </m:t>
        </m:r>
        <m:r>
          <m:rPr>
            <m:sty m:val="p"/>
          </m:rPr>
          <w:rPr>
            <w:rFonts w:ascii="Cambria Math" w:hAnsi="Cambria Math"/>
            <w:sz w:val="22"/>
          </w:rPr>
          <m:t>j∈(1,2,3),</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（4）</w:t>
      </w:r>
    </w:p>
    <w:p w14:paraId="53D02442">
      <w:pPr>
        <w:spacing w:before="120" w:beforeLines="0"/>
        <w:ind w:firstLine="420" w:firstLineChars="0"/>
        <w:rPr>
          <w:rFonts w:hAnsi="Cambria Math" w:cs="Cambria Math"/>
        </w:rPr>
      </w:pPr>
      <w:r>
        <w:rPr>
          <w:rFonts w:hint="eastAsia" w:hAnsi="Cambria Math" w:cs="Cambria Math"/>
        </w:rPr>
        <w:t>这里我们就获得了三个得分网络对所有三维令牌的遮掩评分</w:t>
      </w:r>
    </w:p>
    <w:p w14:paraId="730BDC9A">
      <w:pPr>
        <w:spacing w:before="120" w:beforeLines="0"/>
        <w:ind w:firstLine="420" w:firstLineChars="0"/>
        <w:jc w:val="right"/>
        <w:rPr>
          <w:rFonts w:hAnsi="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（5）</w:t>
      </w:r>
    </w:p>
    <w:p w14:paraId="291AFDFA">
      <w:pPr>
        <w:spacing w:before="120" w:beforeLines="0"/>
        <w:ind w:firstLine="420" w:firstLineChars="0"/>
        <w:rPr>
          <w:rFonts w:hAnsi="Cambria Math"/>
        </w:rPr>
      </w:pPr>
      <w:r>
        <w:rPr>
          <w:rFonts w:hint="eastAsia" w:hAnsi="Cambria Math" w:cs="Cambria Math"/>
        </w:rPr>
        <w:t>此处加入在数据预处理阶段就获得的分割内容</w:t>
      </w:r>
      <m:oMath>
        <m:sSubSup>
          <m:sSubSupPr>
            <m:ctrlPr>
              <w:rPr>
                <w:rFonts w:ascii="Cambria Math" w:hAnsi="Cambria Math"/>
                <w:i/>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i/>
              </w:rPr>
            </m:ctrlPr>
          </m:e>
          <m:sub>
            <m:r>
              <m:rPr/>
              <w:rPr>
                <w:rFonts w:ascii="Cambria Math" w:hAnsi="Cambria Math"/>
              </w:rPr>
              <m:t>N=T//l</m:t>
            </m:r>
            <m:ctrlPr>
              <w:rPr>
                <w:rFonts w:ascii="Cambria Math" w:hAnsi="Cambria Math"/>
                <w:i/>
              </w:rPr>
            </m:ctrlPr>
          </m:sub>
          <m:sup>
            <m:r>
              <m:rPr/>
              <w:rPr>
                <w:rFonts w:ascii="Cambria Math" w:hAnsi="Cambria Math"/>
              </w:rPr>
              <m:t>i∈(1,N)</m:t>
            </m:r>
            <m:ctrlPr>
              <w:rPr>
                <w:rFonts w:ascii="Cambria Math" w:hAnsi="Cambria Math"/>
                <w:i/>
              </w:rPr>
            </m:ctrlPr>
          </m:sup>
        </m:sSubSup>
        <m:r>
          <m:rPr/>
          <w:rPr>
            <w:rFonts w:ascii="Cambria Math" w:hAnsi="Cambria Math"/>
          </w:rPr>
          <m:t>(j=1,2,3)</m:t>
        </m:r>
      </m:oMath>
      <w:r>
        <w:rPr>
          <w:rFonts w:hint="eastAsia" w:hAnsi="Cambria Math"/>
        </w:rPr>
        <w:t>，针对我们现在计算的这一个剪辑，我们获得</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rPr>
          <m:t>(j=1,2,3)</m:t>
        </m:r>
      </m:oMath>
      <w:r>
        <w:rPr>
          <w:rFonts w:hint="eastAsia" w:hAnsi="Cambria Math"/>
        </w:rPr>
        <w:t>也就是对应该剪辑片段的对应三个大模型分割的结果。我们做如下计算：</w:t>
      </w:r>
    </w:p>
    <w:p w14:paraId="0B8E2761">
      <w:pPr>
        <w:spacing w:before="120" w:beforeLines="0"/>
        <w:ind w:firstLine="420" w:firstLineChars="0"/>
        <w:jc w:val="right"/>
        <w:rPr>
          <w:rFonts w:hAnsi="Cambria Math" w:cs="Cambria Math"/>
        </w:rPr>
      </w:pP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InR</m:t>
        </m:r>
        <m:r>
          <m:rPr>
            <m:sty m:val="p"/>
          </m:rPr>
          <w:rPr>
            <w:rFonts w:hint="eastAsia" w:ascii="Cambria Math" w:hAnsi="Cambria Math" w:cs="Cambria Math"/>
          </w:rPr>
          <m:t>o</m:t>
        </m:r>
        <m:r>
          <m:rPr>
            <m:sty m:val="p"/>
          </m:rPr>
          <w:rPr>
            <w:rFonts w:ascii="Cambria Math" w:hAnsi="Cambria Math" w:cs="Cambria Math"/>
          </w:rPr>
          <m:t>I</m:t>
        </m:r>
        <m:r>
          <m:rPr/>
          <w:rPr>
            <w:rFonts w:ascii="Cambria Math" w:hAnsi="Cambria Math" w:cs="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（6）</w:t>
      </w:r>
    </w:p>
    <w:p w14:paraId="6789799F">
      <w:pPr>
        <w:spacing w:before="120" w:beforeLines="0"/>
        <w:ind w:firstLine="420" w:firstLineChars="0"/>
        <w:rPr>
          <w:rFonts w:hAnsi="Cambria Math"/>
        </w:rPr>
      </w:pPr>
      <w:r>
        <w:rPr>
          <w:rFonts w:hint="eastAsia" w:hAnsi="Cambria Math" w:cs="Cambria Math"/>
        </w:rPr>
        <w:t>其中的InRoI函数表示的是N个令牌代表的位置是否在分割图像内，如果是就返还一个小值增加该令牌的得分</w:t>
      </w: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。如果不在就返还0。具体如下：</w:t>
      </w:r>
    </w:p>
    <w:p w14:paraId="200BAA3F">
      <w:pPr>
        <w:spacing w:before="120" w:beforeLines="0"/>
        <w:ind w:firstLine="420" w:firstLineChars="0"/>
        <w:jc w:val="right"/>
        <w:rPr>
          <w:rFonts w:hAnsi="Cambria Math"/>
        </w:rPr>
      </w:pPr>
      <m:oMath>
        <m:r>
          <m:rPr>
            <m:sty m:val="p"/>
          </m:rPr>
          <w:rPr>
            <w:rFonts w:hint="eastAsia" w:ascii="Cambria Math" w:hAnsi="Cambria Math"/>
          </w:rPr>
          <m:t>I</m:t>
        </m:r>
        <m:r>
          <m:rPr>
            <m:sty m:val="p"/>
          </m:rPr>
          <w:rPr>
            <w:rFonts w:ascii="Cambria Math" w:hAnsi="Cambria Math"/>
          </w:rPr>
          <m:t>nRoI(</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α ; </m:t>
                </m:r>
                <m:r>
                  <m:rPr>
                    <m:sty m:val="p"/>
                  </m:rPr>
                  <w:rPr>
                    <w:rFonts w:ascii="Cambria Math" w:hAnsi="Cambria Math"/>
                  </w:rPr>
                  <m:t>if</m:t>
                </m:r>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 xml:space="preserve"> </m:t>
                </m:r>
                <m:r>
                  <m:rPr>
                    <m:sty m:val="p"/>
                  </m:rPr>
                  <w:rPr>
                    <w:rFonts w:ascii="Cambria Math" w:hAnsi="Cambria Math" w:cs="Cambria Math"/>
                  </w:rPr>
                  <m:t>in Region of Interest</m:t>
                </m:r>
                <m:r>
                  <m:rPr/>
                  <w:rPr>
                    <w:rFonts w:ascii="Cambria Math" w:hAnsi="Cambria Math"/>
                  </w:rPr>
                  <m:t>)</m:t>
                </m:r>
                <m:ctrlPr>
                  <w:rPr>
                    <w:rFonts w:ascii="Cambria Math" w:hAnsi="Cambria Math"/>
                    <w:i/>
                  </w:rPr>
                </m:ctrlPr>
              </m:e>
              <m:e>
                <m:r>
                  <m:rPr/>
                  <w:rPr>
                    <w:rFonts w:ascii="Cambria Math" w:hAnsi="Cambria Math"/>
                  </w:rPr>
                  <m:t xml:space="preserve">0 ; else                                           </m:t>
                </m:r>
                <m:ctrlPr>
                  <w:rPr>
                    <w:rFonts w:ascii="Cambria Math" w:hAnsi="Cambria Math"/>
                    <w:i/>
                  </w:rPr>
                </m:ctrlPr>
              </m:e>
            </m:eqArr>
            <m:r>
              <m:rPr/>
              <w:rPr>
                <w:rFonts w:ascii="Cambria Math" w:hAnsi="Cambria Math"/>
              </w:rPr>
              <m:t>,(j=1,2,3)</m:t>
            </m:r>
            <m:ctrlPr>
              <w:rPr>
                <w:rFonts w:ascii="Cambria Math" w:hAnsi="Cambria Math"/>
                <w:i/>
              </w:rPr>
            </m:ctrlPr>
          </m:e>
        </m:d>
      </m:oMath>
      <w:r>
        <w:rPr>
          <w:rFonts w:hint="eastAsia" w:hAnsi="Cambria Math"/>
        </w:rPr>
        <w:t xml:space="preserve">        </w:t>
      </w:r>
      <w:r>
        <w:rPr>
          <w:rFonts w:hint="eastAsia"/>
        </w:rPr>
        <w:t>（7）</w:t>
      </w:r>
    </w:p>
    <w:p w14:paraId="7A8EF26C">
      <w:pPr>
        <w:spacing w:before="120" w:beforeLines="0"/>
        <w:ind w:firstLine="420" w:firstLineChars="0"/>
        <w:rPr>
          <w:rFonts w:hAnsi="Cambria Math"/>
        </w:rPr>
      </w:pPr>
      <w:r>
        <w:rPr>
          <w:rFonts w:hint="eastAsia" w:hAnsi="Cambria Math"/>
        </w:rPr>
        <w:t>最终我们获得了三个独立的遮掩得分评价</w:t>
      </w:r>
    </w:p>
    <w:p w14:paraId="58F71AA2">
      <w:pPr>
        <w:spacing w:before="120" w:beforeLines="0"/>
        <w:ind w:firstLine="420" w:firstLineChars="0"/>
        <w:jc w:val="right"/>
        <w:rPr>
          <w:rFonts w:hAnsi="Cambria Math"/>
        </w:rPr>
      </w:pPr>
      <m:oMath>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（8）</w:t>
      </w:r>
    </w:p>
    <w:p w14:paraId="1AC5AD5E">
      <w:pPr>
        <w:spacing w:before="120" w:beforeLines="0"/>
        <w:ind w:firstLine="420" w:firstLineChars="0"/>
        <w:rPr>
          <w:rFonts w:hAnsi="Cambria Math" w:cs="Cambria Math"/>
        </w:rPr>
      </w:pPr>
      <w:r>
        <w:rPr>
          <w:rFonts w:hint="eastAsia" w:hAnsi="Cambria Math"/>
        </w:rPr>
        <w:t>将这个</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的得分输入门控网络中</w:t>
      </w:r>
    </w:p>
    <w:p w14:paraId="2C98B3EF">
      <w:pPr>
        <w:spacing w:before="120" w:beforeLines="0"/>
        <w:ind w:firstLine="420" w:firstLineChars="0"/>
        <w:jc w:val="right"/>
        <w:rPr>
          <w:rFonts w:hAnsi="Cambria Math" w:cs="Cambria Math"/>
          <w:sz w:val="22"/>
        </w:rPr>
      </w:pPr>
      <m:oMath>
        <m:r>
          <m:rPr>
            <m:sty m:val="p"/>
          </m:rPr>
          <w:rPr>
            <w:rFonts w:ascii="Cambria Math" w:hAnsi="Cambria Math" w:cs="Cambria Math"/>
          </w:rPr>
          <m:t>W=FC(</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1</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2</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3</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cs="Cambria Math"/>
          </w:rPr>
          <m:t>);W</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cs="Cambria Math"/>
                <w:sz w:val="22"/>
              </w:rPr>
              <m:t xml:space="preserve">3 </m:t>
            </m:r>
            <m:ctrlPr>
              <w:rPr>
                <w:rFonts w:ascii="Cambria Math" w:hAnsi="Cambria Math" w:cs="Cambria Math"/>
                <w:sz w:val="22"/>
              </w:rPr>
            </m:ctrlPr>
          </m:sup>
        </m:sSup>
      </m:oMath>
      <w:r>
        <w:rPr>
          <w:rFonts w:hint="eastAsia" w:hAnsi="Cambria Math" w:cs="Cambria Math"/>
          <w:sz w:val="22"/>
        </w:rPr>
        <w:t xml:space="preserve">                        </w:t>
      </w:r>
      <w:r>
        <w:rPr>
          <w:rFonts w:hint="eastAsia"/>
        </w:rPr>
        <w:t>（9）</w:t>
      </w:r>
    </w:p>
    <w:p w14:paraId="793BA7EB">
      <w:pPr>
        <w:spacing w:before="120" w:beforeLines="0"/>
        <w:ind w:firstLine="420" w:firstLineChars="0"/>
        <w:rPr>
          <w:rFonts w:hAnsi="Cambria Math" w:cs="Cambria Math"/>
          <w:sz w:val="22"/>
        </w:rPr>
      </w:pPr>
      <w:r>
        <w:rPr>
          <w:rFonts w:hint="eastAsia" w:hAnsi="Cambria Math" w:cs="Cambria Math"/>
          <w:sz w:val="22"/>
        </w:rPr>
        <w:t>然后将W权值广播后和</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的得分相乘后相加得到最终的令牌得分。</w:t>
      </w:r>
    </w:p>
    <w:p w14:paraId="00A5E93F">
      <w:pPr>
        <w:spacing w:before="120" w:beforeLines="0"/>
        <w:ind w:firstLine="420" w:firstLineChars="0"/>
      </w:pPr>
      <w:r>
        <w:rPr>
          <w:rFonts w:hint="eastAsia" w:hAnsi="Cambria Math"/>
        </w:rPr>
        <w:t>步骤3：</w:t>
      </w:r>
      <w:r>
        <w:rPr>
          <w:rFonts w:hint="eastAsia"/>
        </w:rPr>
        <w:t>预训练编码器</w:t>
      </w:r>
    </w:p>
    <w:p w14:paraId="77F1C790">
      <w:pPr>
        <w:spacing w:before="120" w:beforeLines="0"/>
        <w:ind w:firstLine="420" w:firstLineChars="0"/>
      </w:pPr>
      <w:r>
        <w:rPr>
          <w:rFonts w:hint="eastAsia"/>
        </w:rPr>
        <w:t>在预训练阶段，我们的训练和参数更新图5所示：</w:t>
      </w:r>
    </w:p>
    <w:p w14:paraId="1181C991">
      <w:pPr>
        <w:spacing w:before="120" w:beforeLines="0"/>
        <w:ind w:firstLine="420" w:firstLineChars="0"/>
        <w:jc w:val="center"/>
        <w:rPr>
          <w:rFonts w:hint="eastAsia" w:eastAsia="宋体"/>
          <w:lang w:eastAsia="zh-CN"/>
        </w:rPr>
      </w:pPr>
      <w:bookmarkStart w:id="0" w:name="_GoBack"/>
      <w:r>
        <w:rPr>
          <w:rFonts w:hint="eastAsia" w:eastAsia="宋体"/>
          <w:lang w:eastAsia="zh-CN"/>
        </w:rPr>
        <w:drawing>
          <wp:inline distT="0" distB="0" distL="114300" distR="114300">
            <wp:extent cx="4665345" cy="1398270"/>
            <wp:effectExtent l="0" t="0" r="8255" b="11430"/>
            <wp:docPr id="6" name="图片 6" descr="17453049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5304963101"/>
                    <pic:cNvPicPr>
                      <a:picLocks noChangeAspect="1"/>
                    </pic:cNvPicPr>
                  </pic:nvPicPr>
                  <pic:blipFill>
                    <a:blip r:embed="rId16"/>
                    <a:stretch>
                      <a:fillRect/>
                    </a:stretch>
                  </pic:blipFill>
                  <pic:spPr>
                    <a:xfrm>
                      <a:off x="0" y="0"/>
                      <a:ext cx="4665345" cy="1398270"/>
                    </a:xfrm>
                    <a:prstGeom prst="rect">
                      <a:avLst/>
                    </a:prstGeom>
                  </pic:spPr>
                </pic:pic>
              </a:graphicData>
            </a:graphic>
          </wp:inline>
        </w:drawing>
      </w:r>
      <w:bookmarkEnd w:id="0"/>
    </w:p>
    <w:p w14:paraId="3B1E6E0F">
      <w:pPr>
        <w:spacing w:before="120" w:beforeLines="0"/>
        <w:ind w:firstLine="420" w:firstLineChars="0"/>
        <w:jc w:val="center"/>
      </w:pPr>
      <w:r>
        <w:rPr>
          <w:rFonts w:hint="eastAsia" w:hAnsi="Cambria Math"/>
        </w:rPr>
        <w:t>图5.预训练流程</w:t>
      </w:r>
    </w:p>
    <w:p w14:paraId="1970F9A3">
      <w:pPr>
        <w:spacing w:before="120" w:beforeLines="0"/>
        <w:ind w:firstLine="420" w:firstLineChars="0"/>
        <w:rPr>
          <w:rFonts w:hAnsi="Cambria Math"/>
          <w:szCs w:val="21"/>
        </w:rPr>
      </w:pPr>
      <w:r>
        <w:rPr>
          <w:rFonts w:hint="eastAsia"/>
        </w:rPr>
        <w:t>对于得到的</w:t>
      </w:r>
      <w:r>
        <w:rPr>
          <w:rFonts w:hint="eastAsia" w:hAnsi="Cambria Math" w:cs="Cambria Math"/>
        </w:rPr>
        <w:t>令牌得分</w:t>
      </w:r>
      <w:r>
        <w:rPr>
          <w:rFonts w:hint="eastAsia" w:hAnsi="Cambria Math"/>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。此时我们计算重建损失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来更新编码器解码器的权重。损失公式如下：</w:t>
      </w:r>
    </w:p>
    <w:p w14:paraId="1E25A0EF">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ctrlPr>
              <w:rPr>
                <w:rFonts w:ascii="Cambria Math" w:hAnsi="Cambria Math"/>
                <w:szCs w:val="21"/>
              </w:rPr>
            </m:ctrlPr>
          </m:num>
          <m:den>
            <m:r>
              <m:rPr>
                <m:sty m:val="p"/>
              </m:rPr>
              <w:rPr>
                <w:rFonts w:ascii="Cambria Math" w:hAnsi="Cambria Math"/>
                <w:szCs w:val="21"/>
              </w:rPr>
              <m:t>|</m:t>
            </m:r>
            <m:r>
              <m:rPr>
                <m:sty m:val="p"/>
              </m:rPr>
              <w:rPr>
                <w:rFonts w:hint="eastAsia" w:ascii="Cambria Math" w:hAnsi="Cambria Math"/>
                <w:szCs w:val="21"/>
              </w:rPr>
              <m:t>N</m:t>
            </m:r>
            <m:r>
              <m:rPr>
                <m:sty m:val="p"/>
              </m:rPr>
              <w:rPr>
                <w:rFonts w:ascii="Cambria Math" w:hAnsi="Cambria Math"/>
                <w:szCs w:val="21"/>
              </w:rPr>
              <m:t>|</m:t>
            </m:r>
            <m:ctrlPr>
              <w:rPr>
                <w:rFonts w:ascii="Cambria Math" w:hAnsi="Cambria Math"/>
                <w:szCs w:val="21"/>
              </w:rPr>
            </m:ctrlPr>
          </m:den>
        </m:f>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sSub>
              <m:sSubPr>
                <m:ctrlPr>
                  <w:rPr>
                    <w:rFonts w:ascii="Cambria Math" w:hAnsi="Cambria Math"/>
                    <w:szCs w:val="21"/>
                  </w:rPr>
                </m:ctrlPr>
              </m:sSubPr>
              <m:e>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oMath>
      <w:r>
        <w:rPr>
          <w:rFonts w:hint="eastAsia" w:hAnsi="Cambria Math"/>
          <w:szCs w:val="21"/>
        </w:rPr>
        <w:t xml:space="preserve">                        </w:t>
      </w:r>
      <w:r>
        <w:rPr>
          <w:rFonts w:hint="eastAsia"/>
        </w:rPr>
        <w:t>（10）</w:t>
      </w:r>
    </w:p>
    <w:p w14:paraId="249BA593">
      <w:pPr>
        <w:spacing w:before="120" w:beforeLines="0"/>
        <w:ind w:firstLine="420" w:firstLineChars="0"/>
        <w:rPr>
          <w:rFonts w:hAnsi="Cambria Math"/>
        </w:rPr>
      </w:pPr>
      <w:r>
        <w:rPr>
          <w:rFonts w:hint="eastAsia" w:hAnsi="Cambria Math"/>
          <w:szCs w:val="21"/>
        </w:rPr>
        <w:t>其中N代表所有令牌的个数，</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和</w:t>
      </w:r>
      <m:oMath>
        <m:r>
          <m:rPr/>
          <w:rPr>
            <w:rFonts w:ascii="Cambria Math" w:hAnsi="Cambria Math"/>
          </w:rPr>
          <m:t>I</m:t>
        </m:r>
      </m:oMath>
      <w:r>
        <w:rPr>
          <w:rFonts w:hint="eastAsia" w:hAnsi="Cambria Math"/>
        </w:rPr>
        <w:t>分别代表重建输出的和原令牌的RGB（Red, Green, Blue）值。</w:t>
      </w:r>
    </w:p>
    <w:p w14:paraId="022BCD73">
      <w:pPr>
        <w:spacing w:before="120" w:beforeLines="0"/>
        <w:ind w:firstLine="420" w:firstLineChars="0"/>
        <w:rPr>
          <w:rFonts w:hAnsi="Cambria Math"/>
        </w:rPr>
      </w:pPr>
      <w:r>
        <w:rPr>
          <w:rFonts w:hint="eastAsia" w:hAnsi="Cambria Math"/>
        </w:rPr>
        <w:t>然后我们也要训练遮掩得分网络，我们计算采样损失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rPr>
        <w:t>来更新遮掩得分网络的权重。损失公式如下：</w:t>
      </w:r>
    </w:p>
    <w:p w14:paraId="65756E78">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r>
          <m:rPr>
            <m:sty m:val="p"/>
          </m:rPr>
          <w:rPr>
            <w:rFonts w:ascii="Cambria Math" w:hAnsi="Cambria Math"/>
            <w:szCs w:val="21"/>
          </w:rPr>
          <m:t>=−</m:t>
        </m:r>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log(</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r>
          <m:rPr>
            <m:sty m:val="p"/>
          </m:rPr>
          <w:rPr>
            <w:rFonts w:ascii="Cambria Math" w:hAnsi="Cambria Math"/>
            <w:szCs w:val="21"/>
          </w:rPr>
          <m:t>)</m:t>
        </m:r>
      </m:oMath>
      <w:r>
        <w:rPr>
          <w:rFonts w:hint="eastAsia" w:hAnsi="Cambria Math"/>
          <w:szCs w:val="21"/>
        </w:rPr>
        <w:t xml:space="preserve">                    </w:t>
      </w:r>
      <w:r>
        <w:rPr>
          <w:rFonts w:hint="eastAsia"/>
        </w:rPr>
        <w:t>（11）</w:t>
      </w:r>
    </w:p>
    <w:p w14:paraId="651BEC8D">
      <w:pPr>
        <w:spacing w:before="120" w:beforeLines="0"/>
        <w:ind w:firstLine="420" w:firstLineChars="0"/>
        <w:rPr>
          <w:rFonts w:hAnsi="Cambria Math"/>
        </w:rPr>
      </w:pPr>
      <w:r>
        <w:rPr>
          <w:rFonts w:hint="eastAsia" w:hAnsi="Cambria Math"/>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7B4ED0D5">
      <w:pPr>
        <w:spacing w:before="120" w:beforeLines="0"/>
        <w:ind w:firstLine="420" w:firstLineChars="0"/>
        <w:rPr>
          <w:rFonts w:hAnsi="Cambria Math"/>
          <w:szCs w:val="21"/>
        </w:rPr>
      </w:pPr>
      <w:r>
        <w:rPr>
          <w:rFonts w:hint="eastAsia" w:hAnsi="Cambria Math"/>
        </w:rPr>
        <w:t>步骤4：</w:t>
      </w:r>
      <w:r>
        <w:rPr>
          <w:rFonts w:hint="eastAsia" w:hAnsi="Cambria Math"/>
          <w:szCs w:val="21"/>
        </w:rPr>
        <w:t>微调编码器、分类头</w:t>
      </w:r>
    </w:p>
    <w:p w14:paraId="19AE8600">
      <w:pPr>
        <w:spacing w:before="120" w:beforeLines="0"/>
        <w:ind w:firstLine="420" w:firstLineChars="0"/>
        <w:rPr>
          <w:rFonts w:hAnsi="Cambria Math"/>
        </w:rPr>
      </w:pPr>
      <w:r>
        <w:rPr>
          <w:rFonts w:hint="eastAsia" w:hAnsi="Cambria Math"/>
        </w:rPr>
        <w:t>在微调阶段，我们的训练和参数更新流程如图6所示。</w:t>
      </w:r>
    </w:p>
    <w:p w14:paraId="575762F9">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5083810" cy="1299210"/>
            <wp:effectExtent l="0" t="0" r="8890" b="8890"/>
            <wp:docPr id="7" name="图片 7" descr="17453049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5304988203"/>
                    <pic:cNvPicPr>
                      <a:picLocks noChangeAspect="1"/>
                    </pic:cNvPicPr>
                  </pic:nvPicPr>
                  <pic:blipFill>
                    <a:blip r:embed="rId17"/>
                    <a:stretch>
                      <a:fillRect/>
                    </a:stretch>
                  </pic:blipFill>
                  <pic:spPr>
                    <a:xfrm>
                      <a:off x="0" y="0"/>
                      <a:ext cx="5083810" cy="1299210"/>
                    </a:xfrm>
                    <a:prstGeom prst="rect">
                      <a:avLst/>
                    </a:prstGeom>
                  </pic:spPr>
                </pic:pic>
              </a:graphicData>
            </a:graphic>
          </wp:inline>
        </w:drawing>
      </w:r>
    </w:p>
    <w:p w14:paraId="4E7CD468">
      <w:pPr>
        <w:spacing w:before="120" w:beforeLines="0"/>
        <w:ind w:firstLine="420" w:firstLineChars="0"/>
        <w:jc w:val="center"/>
        <w:rPr>
          <w:rFonts w:hAnsi="Cambria Math"/>
        </w:rPr>
      </w:pPr>
      <w:r>
        <w:rPr>
          <w:rFonts w:hint="eastAsia" w:hAnsi="Cambria Math"/>
        </w:rPr>
        <w:t>图6.微调流程</w:t>
      </w:r>
    </w:p>
    <w:p w14:paraId="47C00514">
      <w:pPr>
        <w:spacing w:before="120" w:beforeLines="0"/>
        <w:ind w:firstLine="420" w:firstLineChars="0"/>
      </w:pPr>
      <w:r>
        <w:rPr>
          <w:rFonts w:hint="eastAsia" w:hAnsi="Cambria Math"/>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2C8FB066">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1F6F149F">
      <w:pPr>
        <w:numPr>
          <w:ilvl w:val="0"/>
          <w:numId w:val="5"/>
        </w:numPr>
        <w:spacing w:before="120" w:line="300" w:lineRule="auto"/>
        <w:ind w:firstLine="480"/>
      </w:pPr>
      <w:r>
        <w:rPr>
          <w:rFonts w:hint="eastAsia" w:ascii="宋体" w:hAnsi="宋体" w:cs="宋体"/>
          <w:sz w:val="24"/>
        </w:rPr>
        <w:t xml:space="preserve"> </w:t>
      </w:r>
      <w:r>
        <w:rPr>
          <w:rFonts w:hint="eastAsia"/>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本发明结合多个医学分割模型（MedSAM2、Deeplabv3、nnUNet2++）来处理不同医生操作和数据质量波动问题。通过多专家机制，显著降低单一模型的误差率，从而提高模型在不同数据集上的稳定性和泛化能力。</w:t>
      </w:r>
    </w:p>
    <w:p w14:paraId="0376C9E5">
      <w:pPr>
        <w:numPr>
          <w:ilvl w:val="0"/>
          <w:numId w:val="5"/>
        </w:numPr>
        <w:spacing w:before="120" w:line="300" w:lineRule="auto"/>
        <w:ind w:firstLine="420"/>
      </w:pPr>
      <w:r>
        <w:rPr>
          <w:rFonts w:hint="eastAsia"/>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7F2BF72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54B5B6BC">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5A303837">
      <w:pPr>
        <w:numPr>
          <w:ilvl w:val="0"/>
          <w:numId w:val="6"/>
        </w:numPr>
        <w:spacing w:before="120" w:line="300" w:lineRule="auto"/>
        <w:ind w:firstLine="420"/>
      </w:pPr>
      <w:r>
        <w:rPr>
          <w:rFonts w:hint="eastAsia"/>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06E981BB">
      <w:pPr>
        <w:numPr>
          <w:ilvl w:val="0"/>
          <w:numId w:val="6"/>
        </w:numPr>
        <w:spacing w:before="120" w:line="300" w:lineRule="auto"/>
        <w:ind w:firstLine="420"/>
      </w:pPr>
      <w:r>
        <w:rPr>
          <w:rFonts w:hint="eastAsia"/>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47229E0D">
      <w:pPr>
        <w:spacing w:before="120"/>
        <w:ind w:firstLine="420"/>
      </w:pPr>
      <w:r>
        <w:rPr>
          <w:rFonts w:hint="eastAsia"/>
        </w:rPr>
        <w:t>与现有技术相比，本发明具有以下有益效果：</w:t>
      </w:r>
    </w:p>
    <w:p w14:paraId="16163EA1">
      <w:pPr>
        <w:numPr>
          <w:ilvl w:val="0"/>
          <w:numId w:val="7"/>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6E6D5B29">
      <w:pPr>
        <w:numPr>
          <w:ilvl w:val="0"/>
          <w:numId w:val="7"/>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744F2855">
      <w:pPr>
        <w:spacing w:before="120" w:line="300" w:lineRule="auto"/>
        <w:ind w:firstLine="420" w:firstLineChars="0"/>
      </w:pPr>
    </w:p>
    <w:p w14:paraId="1BCB2936">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5BF8B87C">
      <w:pPr>
        <w:spacing w:before="120"/>
        <w:ind w:firstLine="420" w:firstLineChars="0"/>
      </w:pPr>
      <w:r>
        <w:rPr>
          <w:rFonts w:hint="eastAsia"/>
        </w:rPr>
        <w:t>无</w:t>
      </w:r>
    </w:p>
    <w:p w14:paraId="6FCA4BE7">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3ECEDB79">
      <w:pPr>
        <w:spacing w:before="120"/>
        <w:ind w:firstLine="420" w:firstLineChars="0"/>
      </w:pPr>
      <w:r>
        <w:rPr>
          <w:rFonts w:hint="eastAsia"/>
        </w:rPr>
        <w:t>无</w:t>
      </w:r>
    </w:p>
    <w:p w14:paraId="20C682DB">
      <w:pPr>
        <w:numPr>
          <w:ilvl w:val="0"/>
          <w:numId w:val="8"/>
        </w:numPr>
        <w:spacing w:before="120"/>
        <w:ind w:firstLine="422"/>
        <w:jc w:val="left"/>
        <w:rPr>
          <w:rFonts w:ascii="楷体" w:hAnsi="楷体" w:eastAsia="楷体" w:cs="宋体"/>
          <w:b/>
          <w:color w:val="000000"/>
          <w:szCs w:val="21"/>
        </w:rPr>
      </w:pPr>
      <w:r>
        <w:rPr>
          <w:rFonts w:hint="eastAsia" w:ascii="楷体" w:hAnsi="楷体" w:eastAsia="楷体" w:cs="宋体"/>
          <w:b/>
          <w:color w:val="000000"/>
          <w:szCs w:val="21"/>
        </w:rPr>
        <w:t>案例（实施例）</w:t>
      </w:r>
    </w:p>
    <w:p w14:paraId="7A96D37D">
      <w:pPr>
        <w:spacing w:before="120"/>
        <w:ind w:firstLine="420"/>
        <w:rPr>
          <w:u w:val="single"/>
        </w:rPr>
      </w:pPr>
      <w:r>
        <w:rPr>
          <w:rFonts w:hint="eastAsia"/>
          <w:u w:val="single"/>
        </w:rPr>
        <w:t>数据集：</w:t>
      </w:r>
    </w:p>
    <w:p w14:paraId="073C4AA4">
      <w:pPr>
        <w:spacing w:before="0" w:beforeLines="0"/>
        <w:ind w:firstLine="420"/>
      </w:pPr>
      <w:r>
        <w:rPr>
          <w:rFonts w:hint="eastAsia"/>
        </w:rPr>
        <w:t>实验在上海第十人民医院的数据集上进行训练和验证，数据统计如下表，表1展示了我们训练集和验证集的统计：</w:t>
      </w:r>
    </w:p>
    <w:p w14:paraId="2F081C2B">
      <w:pPr>
        <w:spacing w:before="0" w:beforeLines="0"/>
        <w:ind w:firstLine="420"/>
        <w:jc w:val="center"/>
      </w:pPr>
      <w:r>
        <w:rPr>
          <w:rFonts w:hint="eastAsia"/>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5331C1A9">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652D6600">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数据</w:t>
            </w:r>
          </w:p>
        </w:tc>
        <w:tc>
          <w:tcPr>
            <w:tcW w:w="1727" w:type="dxa"/>
            <w:tcBorders>
              <w:top w:val="single" w:color="auto" w:sz="4" w:space="0"/>
              <w:bottom w:val="single" w:color="auto" w:sz="4" w:space="0"/>
            </w:tcBorders>
            <w:noWrap/>
            <w:vAlign w:val="center"/>
          </w:tcPr>
          <w:p w14:paraId="19AEF9AD">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上海第十人民医院（训练）</w:t>
            </w:r>
          </w:p>
        </w:tc>
        <w:tc>
          <w:tcPr>
            <w:tcW w:w="1871" w:type="dxa"/>
            <w:tcBorders>
              <w:top w:val="single" w:color="auto" w:sz="4" w:space="0"/>
              <w:bottom w:val="single" w:color="auto" w:sz="4" w:space="0"/>
            </w:tcBorders>
            <w:noWrap/>
            <w:vAlign w:val="center"/>
          </w:tcPr>
          <w:p w14:paraId="68AD15F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上海第十人民医院（验证）</w:t>
            </w:r>
          </w:p>
        </w:tc>
      </w:tr>
      <w:tr w14:paraId="7E440100">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36DF4B0F">
            <w:pPr>
              <w:spacing w:before="120"/>
              <w:ind w:firstLine="36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病例数量</w:t>
            </w:r>
          </w:p>
        </w:tc>
        <w:tc>
          <w:tcPr>
            <w:tcW w:w="1727" w:type="dxa"/>
            <w:tcBorders>
              <w:top w:val="single" w:color="auto" w:sz="4" w:space="0"/>
            </w:tcBorders>
            <w:noWrap/>
            <w:vAlign w:val="center"/>
          </w:tcPr>
          <w:p w14:paraId="2F4F500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440</w:t>
            </w:r>
          </w:p>
        </w:tc>
        <w:tc>
          <w:tcPr>
            <w:tcW w:w="1871" w:type="dxa"/>
            <w:tcBorders>
              <w:top w:val="single" w:color="auto" w:sz="4" w:space="0"/>
            </w:tcBorders>
            <w:noWrap/>
            <w:vAlign w:val="center"/>
          </w:tcPr>
          <w:p w14:paraId="10BEAEC9">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110</w:t>
            </w:r>
          </w:p>
        </w:tc>
      </w:tr>
      <w:tr w14:paraId="12630A6B">
        <w:tblPrEx>
          <w:tblCellMar>
            <w:top w:w="0" w:type="dxa"/>
            <w:left w:w="108" w:type="dxa"/>
            <w:bottom w:w="0" w:type="dxa"/>
            <w:right w:w="108" w:type="dxa"/>
          </w:tblCellMar>
        </w:tblPrEx>
        <w:trPr>
          <w:trHeight w:val="285" w:hRule="atLeast"/>
          <w:jc w:val="center"/>
        </w:trPr>
        <w:tc>
          <w:tcPr>
            <w:tcW w:w="2521" w:type="dxa"/>
            <w:noWrap/>
            <w:vAlign w:val="center"/>
          </w:tcPr>
          <w:p w14:paraId="11E74EB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癌症初期（T0期）数量</w:t>
            </w:r>
          </w:p>
        </w:tc>
        <w:tc>
          <w:tcPr>
            <w:tcW w:w="1727" w:type="dxa"/>
            <w:noWrap/>
            <w:vAlign w:val="center"/>
          </w:tcPr>
          <w:p w14:paraId="71C49EAB">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230</w:t>
            </w:r>
          </w:p>
        </w:tc>
        <w:tc>
          <w:tcPr>
            <w:tcW w:w="1871" w:type="dxa"/>
            <w:noWrap/>
            <w:vAlign w:val="center"/>
          </w:tcPr>
          <w:p w14:paraId="1F08098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58</w:t>
            </w:r>
          </w:p>
        </w:tc>
      </w:tr>
      <w:tr w14:paraId="124A8F6F">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7C935414">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癌症晚期（T1期）数量</w:t>
            </w:r>
          </w:p>
        </w:tc>
        <w:tc>
          <w:tcPr>
            <w:tcW w:w="1727" w:type="dxa"/>
            <w:tcBorders>
              <w:bottom w:val="single" w:color="auto" w:sz="4" w:space="0"/>
            </w:tcBorders>
            <w:noWrap/>
            <w:vAlign w:val="center"/>
          </w:tcPr>
          <w:p w14:paraId="3B0D7FB9">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210</w:t>
            </w:r>
          </w:p>
        </w:tc>
        <w:tc>
          <w:tcPr>
            <w:tcW w:w="1871" w:type="dxa"/>
            <w:tcBorders>
              <w:bottom w:val="single" w:color="auto" w:sz="4" w:space="0"/>
            </w:tcBorders>
            <w:noWrap/>
            <w:vAlign w:val="center"/>
          </w:tcPr>
          <w:p w14:paraId="0FE9AAC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52</w:t>
            </w:r>
          </w:p>
        </w:tc>
      </w:tr>
    </w:tbl>
    <w:p w14:paraId="516D4CB2">
      <w:pPr>
        <w:spacing w:before="0" w:beforeLines="0"/>
        <w:ind w:firstLine="420"/>
      </w:pPr>
    </w:p>
    <w:p w14:paraId="69242B6B">
      <w:pPr>
        <w:spacing w:before="120"/>
        <w:ind w:firstLine="420"/>
        <w:rPr>
          <w:u w:val="single"/>
        </w:rPr>
      </w:pPr>
      <w:r>
        <w:rPr>
          <w:rFonts w:hint="eastAsia"/>
          <w:u w:val="single"/>
        </w:rPr>
        <w:t>方法应用：</w:t>
      </w:r>
    </w:p>
    <w:p w14:paraId="2BA29126">
      <w:pPr>
        <w:spacing w:before="120"/>
        <w:ind w:firstLine="420"/>
      </w:pPr>
      <w:r>
        <w:rPr>
          <w:rFonts w:hint="eastAsia"/>
        </w:rPr>
        <w:t>本实验将训练批次大小（Batch</w:t>
      </w:r>
      <w:r>
        <w:t xml:space="preserve"> Size</w:t>
      </w:r>
      <w:r>
        <w:rPr>
          <w:rFonts w:hint="eastAsia"/>
        </w:rPr>
        <w:t>）设置为 4，整个过程中在两块RTX 3090显卡上训练。对于我们的工作，我们使用AdamW优化器，在1e-3的学习率下预训练500个轮次来最小化重建损失和采样损失。随后我们在4e-4的学习率下微调300轮次最小化交叉熵损失。</w:t>
      </w:r>
    </w:p>
    <w:p w14:paraId="16A71A27">
      <w:pPr>
        <w:spacing w:before="120"/>
        <w:ind w:firstLine="420"/>
        <w:rPr>
          <w:u w:val="single"/>
        </w:rPr>
      </w:pPr>
      <w:r>
        <w:rPr>
          <w:rFonts w:hint="eastAsia"/>
          <w:u w:val="single"/>
        </w:rPr>
        <w:t>效果对比</w:t>
      </w:r>
    </w:p>
    <w:p w14:paraId="23A2F840">
      <w:pPr>
        <w:spacing w:before="120"/>
        <w:ind w:firstLine="420"/>
      </w:pPr>
      <w:r>
        <w:rPr>
          <w:rFonts w:hint="eastAsia"/>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3E1A7DED">
      <w:pPr>
        <w:spacing w:before="0" w:beforeLines="0"/>
        <w:ind w:firstLine="420"/>
        <w:jc w:val="center"/>
      </w:pPr>
      <w:r>
        <w:rPr>
          <w:rFonts w:hint="eastAsia"/>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7BE92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195DBC4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3C0D893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6E5632D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1932A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39B6D26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随机掩码</w:t>
            </w:r>
          </w:p>
        </w:tc>
        <w:tc>
          <w:tcPr>
            <w:tcW w:w="1668" w:type="dxa"/>
          </w:tcPr>
          <w:p w14:paraId="35B2044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0.8207</w:t>
            </w:r>
          </w:p>
        </w:tc>
        <w:tc>
          <w:tcPr>
            <w:tcW w:w="1733" w:type="dxa"/>
          </w:tcPr>
          <w:p w14:paraId="095B936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0.875</w:t>
            </w:r>
          </w:p>
        </w:tc>
      </w:tr>
      <w:tr w14:paraId="448AE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4855E90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分割引导掩码（OURS）</w:t>
            </w:r>
          </w:p>
        </w:tc>
        <w:tc>
          <w:tcPr>
            <w:tcW w:w="1668" w:type="dxa"/>
          </w:tcPr>
          <w:p w14:paraId="22D8E98A">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7684179D">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1F32CE9E">
      <w:pPr>
        <w:spacing w:before="120"/>
        <w:ind w:firstLine="420"/>
      </w:pPr>
      <w:r>
        <w:rPr>
          <w:rFonts w:hint="eastAsia"/>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7B2D3A8B">
      <w:pPr>
        <w:spacing w:before="120"/>
        <w:ind w:firstLine="420"/>
      </w:pPr>
    </w:p>
    <w:p w14:paraId="6D2C87C7">
      <w:pPr>
        <w:spacing w:before="0" w:beforeLines="0"/>
        <w:ind w:firstLine="420"/>
        <w:jc w:val="center"/>
      </w:pPr>
      <w:r>
        <w:rPr>
          <w:rFonts w:hint="eastAsia"/>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4D419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061DE8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25A3611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07CFE2E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21C1B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7D053B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直接取最深层特征微调</w:t>
            </w:r>
          </w:p>
        </w:tc>
        <w:tc>
          <w:tcPr>
            <w:tcW w:w="1668" w:type="dxa"/>
          </w:tcPr>
          <w:p w14:paraId="3E29C7A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0.9024</w:t>
            </w:r>
          </w:p>
        </w:tc>
        <w:tc>
          <w:tcPr>
            <w:tcW w:w="1733" w:type="dxa"/>
          </w:tcPr>
          <w:p w14:paraId="63DC9EB7">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0.941</w:t>
            </w:r>
          </w:p>
        </w:tc>
      </w:tr>
      <w:tr w14:paraId="6AD79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0C5776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利用10%的额外令牌输入微调</w:t>
            </w:r>
          </w:p>
        </w:tc>
        <w:tc>
          <w:tcPr>
            <w:tcW w:w="1668" w:type="dxa"/>
          </w:tcPr>
          <w:p w14:paraId="5281F824">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5F195B7C">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6D0185B7">
      <w:pPr>
        <w:spacing w:before="120"/>
        <w:ind w:firstLine="420"/>
      </w:pPr>
    </w:p>
    <w:p w14:paraId="6E73A2B5">
      <w:pPr>
        <w:spacing w:before="120"/>
        <w:ind w:firstLine="420"/>
      </w:pPr>
      <w:r>
        <w:rPr>
          <w:rFonts w:hint="eastAsia"/>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p>
    <w:p w14:paraId="6535E2E0">
      <w:pPr>
        <w:spacing w:before="0" w:beforeLines="0"/>
        <w:ind w:firstLine="420"/>
        <w:jc w:val="center"/>
      </w:pPr>
      <w:r>
        <w:rPr>
          <w:rFonts w:hint="eastAsia"/>
        </w:rPr>
        <w:t>表3.和其他工作的对比</w:t>
      </w: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34E7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14:paraId="5F4DA59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组别</w:t>
            </w:r>
          </w:p>
        </w:tc>
        <w:tc>
          <w:tcPr>
            <w:tcW w:w="1803" w:type="dxa"/>
          </w:tcPr>
          <w:p w14:paraId="40D628C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方法</w:t>
            </w:r>
          </w:p>
        </w:tc>
        <w:tc>
          <w:tcPr>
            <w:tcW w:w="1677" w:type="dxa"/>
          </w:tcPr>
          <w:p w14:paraId="72E770D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主干</w:t>
            </w:r>
          </w:p>
        </w:tc>
        <w:tc>
          <w:tcPr>
            <w:tcW w:w="1674" w:type="dxa"/>
          </w:tcPr>
          <w:p w14:paraId="33E0254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674" w:type="dxa"/>
          </w:tcPr>
          <w:p w14:paraId="3902A10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7133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3338FD58">
            <w:pPr>
              <w:spacing w:before="120"/>
              <w:ind w:firstLine="0" w:firstLineChars="0"/>
              <w:jc w:val="center"/>
              <w:rPr>
                <w:rFonts w:ascii="Times New Roman Regular" w:hAnsi="Times New Roman Regular" w:eastAsia="等线" w:cs="Times New Roman Regular"/>
                <w:kern w:val="0"/>
                <w:sz w:val="18"/>
                <w:szCs w:val="18"/>
              </w:rPr>
            </w:pPr>
          </w:p>
          <w:p w14:paraId="2C5BE2B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基于图片</w:t>
            </w:r>
          </w:p>
        </w:tc>
        <w:tc>
          <w:tcPr>
            <w:tcW w:w="1803" w:type="dxa"/>
          </w:tcPr>
          <w:p w14:paraId="5C14BCA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ResNet50</w:t>
            </w:r>
          </w:p>
        </w:tc>
        <w:tc>
          <w:tcPr>
            <w:tcW w:w="1677" w:type="dxa"/>
            <w:vMerge w:val="restart"/>
          </w:tcPr>
          <w:p w14:paraId="229715E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CNN</w:t>
            </w:r>
          </w:p>
          <w:p w14:paraId="1930560D">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6E61F25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0.726</w:t>
            </w:r>
          </w:p>
        </w:tc>
        <w:tc>
          <w:tcPr>
            <w:tcW w:w="1674" w:type="dxa"/>
          </w:tcPr>
          <w:p w14:paraId="3E9B91C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0.739</w:t>
            </w:r>
          </w:p>
        </w:tc>
      </w:tr>
      <w:tr w14:paraId="79D04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61C19ECA">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5BF58C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US_UCL</w:t>
            </w:r>
          </w:p>
        </w:tc>
        <w:tc>
          <w:tcPr>
            <w:tcW w:w="1677" w:type="dxa"/>
            <w:vMerge w:val="continue"/>
          </w:tcPr>
          <w:p w14:paraId="760D217A">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70CA4991">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0.609</w:t>
            </w:r>
          </w:p>
        </w:tc>
        <w:tc>
          <w:tcPr>
            <w:tcW w:w="1674" w:type="dxa"/>
          </w:tcPr>
          <w:p w14:paraId="1B75307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0.713</w:t>
            </w:r>
          </w:p>
        </w:tc>
      </w:tr>
      <w:tr w14:paraId="33C94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6457BEE">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72B023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RadFormer</w:t>
            </w:r>
          </w:p>
        </w:tc>
        <w:tc>
          <w:tcPr>
            <w:tcW w:w="1677" w:type="dxa"/>
            <w:vMerge w:val="restart"/>
          </w:tcPr>
          <w:p w14:paraId="6A3FFE9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3416551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0.717</w:t>
            </w:r>
          </w:p>
        </w:tc>
        <w:tc>
          <w:tcPr>
            <w:tcW w:w="1674" w:type="dxa"/>
          </w:tcPr>
          <w:p w14:paraId="57CB780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0.758</w:t>
            </w:r>
          </w:p>
        </w:tc>
      </w:tr>
      <w:tr w14:paraId="45B91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BCE2BE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3F77282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PVTv2(SOTA)</w:t>
            </w:r>
          </w:p>
        </w:tc>
        <w:tc>
          <w:tcPr>
            <w:tcW w:w="1677" w:type="dxa"/>
            <w:vMerge w:val="continue"/>
          </w:tcPr>
          <w:p w14:paraId="594BC425">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4AB09BD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0.783</w:t>
            </w:r>
          </w:p>
        </w:tc>
        <w:tc>
          <w:tcPr>
            <w:tcW w:w="1674" w:type="dxa"/>
          </w:tcPr>
          <w:p w14:paraId="7456EC6E">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0.829</w:t>
            </w:r>
          </w:p>
        </w:tc>
      </w:tr>
      <w:tr w14:paraId="1B330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69DB20F9">
            <w:pPr>
              <w:spacing w:before="120"/>
              <w:ind w:firstLine="0" w:firstLineChars="0"/>
              <w:jc w:val="center"/>
              <w:rPr>
                <w:rFonts w:ascii="Times New Roman Regular" w:hAnsi="Times New Roman Regular" w:eastAsia="等线" w:cs="Times New Roman Regular"/>
                <w:kern w:val="0"/>
                <w:sz w:val="18"/>
                <w:szCs w:val="18"/>
              </w:rPr>
            </w:pPr>
          </w:p>
          <w:p w14:paraId="168CE4E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基于视频</w:t>
            </w:r>
          </w:p>
        </w:tc>
        <w:tc>
          <w:tcPr>
            <w:tcW w:w="1803" w:type="dxa"/>
          </w:tcPr>
          <w:p w14:paraId="3636095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VideoMAEv2</w:t>
            </w:r>
          </w:p>
        </w:tc>
        <w:tc>
          <w:tcPr>
            <w:tcW w:w="1677" w:type="dxa"/>
            <w:vMerge w:val="restart"/>
          </w:tcPr>
          <w:p w14:paraId="521255BB">
            <w:pPr>
              <w:spacing w:before="120"/>
              <w:ind w:firstLine="0" w:firstLineChars="0"/>
              <w:jc w:val="center"/>
              <w:rPr>
                <w:rFonts w:ascii="Times New Roman Regular" w:hAnsi="Times New Roman Regular" w:eastAsia="等线" w:cs="Times New Roman Regular"/>
                <w:kern w:val="0"/>
                <w:sz w:val="18"/>
                <w:szCs w:val="18"/>
              </w:rPr>
            </w:pPr>
          </w:p>
          <w:p w14:paraId="246FC71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6F34B2B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0.904</w:t>
            </w:r>
          </w:p>
        </w:tc>
        <w:tc>
          <w:tcPr>
            <w:tcW w:w="1674" w:type="dxa"/>
          </w:tcPr>
          <w:p w14:paraId="53B9D52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0.942</w:t>
            </w:r>
          </w:p>
        </w:tc>
      </w:tr>
      <w:tr w14:paraId="055AD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tcPr>
          <w:p w14:paraId="0EA9E53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26CB325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m2clip(SOTA)</w:t>
            </w:r>
          </w:p>
        </w:tc>
        <w:tc>
          <w:tcPr>
            <w:tcW w:w="1677" w:type="dxa"/>
            <w:vMerge w:val="continue"/>
          </w:tcPr>
          <w:p w14:paraId="5C5718C2">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145DAC9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0.906</w:t>
            </w:r>
          </w:p>
        </w:tc>
        <w:tc>
          <w:tcPr>
            <w:tcW w:w="1674" w:type="dxa"/>
          </w:tcPr>
          <w:p w14:paraId="68B1BAD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0.949</w:t>
            </w:r>
          </w:p>
        </w:tc>
      </w:tr>
      <w:tr w14:paraId="26A73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09EE2F7D">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11A0966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(OURS)</w:t>
            </w:r>
          </w:p>
        </w:tc>
        <w:tc>
          <w:tcPr>
            <w:tcW w:w="1677" w:type="dxa"/>
            <w:vMerge w:val="continue"/>
          </w:tcPr>
          <w:p w14:paraId="58B74FB3">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0B797526">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674" w:type="dxa"/>
          </w:tcPr>
          <w:p w14:paraId="4D8FF497">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77148485">
      <w:pPr>
        <w:spacing w:before="0" w:beforeLines="0"/>
        <w:ind w:firstLine="0" w:firstLineChars="0"/>
        <w:rPr>
          <w:b/>
          <w:bCs/>
        </w:rPr>
      </w:pPr>
    </w:p>
    <w:p w14:paraId="67FE0B8E">
      <w:pPr>
        <w:spacing w:before="0" w:beforeLines="0"/>
        <w:ind w:firstLine="420"/>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imes New Roman Regular">
    <w:altName w:val="Times New Roman"/>
    <w:panose1 w:val="00000000000000000000"/>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1B161">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C824C">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34642">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E2AD9">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4055">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AC0336">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A5B8E"/>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35BF"/>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0E5F"/>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4B07"/>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1EA"/>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655682"/>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916A68"/>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C841EA"/>
    <w:rsid w:val="1BDE0722"/>
    <w:rsid w:val="1CAB11DE"/>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3F653F5"/>
    <w:rsid w:val="242A719D"/>
    <w:rsid w:val="243755B9"/>
    <w:rsid w:val="25A85B04"/>
    <w:rsid w:val="25C81C55"/>
    <w:rsid w:val="25CA054A"/>
    <w:rsid w:val="26305B59"/>
    <w:rsid w:val="26837610"/>
    <w:rsid w:val="26BF7842"/>
    <w:rsid w:val="26FE4181"/>
    <w:rsid w:val="27182EAE"/>
    <w:rsid w:val="276A0A85"/>
    <w:rsid w:val="27706BF2"/>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DE5066F"/>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35644B"/>
    <w:rsid w:val="365B58EF"/>
    <w:rsid w:val="368D18BF"/>
    <w:rsid w:val="36F167EC"/>
    <w:rsid w:val="37134969"/>
    <w:rsid w:val="373D184D"/>
    <w:rsid w:val="37BA58BB"/>
    <w:rsid w:val="37D030C6"/>
    <w:rsid w:val="385C2E16"/>
    <w:rsid w:val="38B16427"/>
    <w:rsid w:val="39FC7653"/>
    <w:rsid w:val="39FF2AB1"/>
    <w:rsid w:val="3A16265B"/>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CC5E8D"/>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105066"/>
    <w:rsid w:val="49387294"/>
    <w:rsid w:val="49604C59"/>
    <w:rsid w:val="4965038D"/>
    <w:rsid w:val="496F6A33"/>
    <w:rsid w:val="49DE6724"/>
    <w:rsid w:val="4A2052C9"/>
    <w:rsid w:val="4A3F77C6"/>
    <w:rsid w:val="4A5F4669"/>
    <w:rsid w:val="4A974F3B"/>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8621346"/>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修订1"/>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1568</Words>
  <Characters>1709</Characters>
  <Lines>64</Lines>
  <Paragraphs>18</Paragraphs>
  <TotalTime>5</TotalTime>
  <ScaleCrop>false</ScaleCrop>
  <LinksUpToDate>false</LinksUpToDate>
  <CharactersWithSpaces>1759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2025-04-22T06:56:54Z</dcterms:modified>
  <dc:title>技术交底书撰写模版</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