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9A5829">
      <w:pPr>
        <w:pStyle w:val="2"/>
      </w:pPr>
      <w:r>
        <w:rPr>
          <w:rFonts w:hint="eastAsia"/>
        </w:rPr>
        <w:t>附件1</w:t>
      </w:r>
    </w:p>
    <w:p w14:paraId="6F34F469">
      <w:pPr>
        <w:spacing w:line="360" w:lineRule="auto"/>
        <w:jc w:val="center"/>
        <w:rPr>
          <w:b/>
          <w:sz w:val="44"/>
          <w:szCs w:val="44"/>
        </w:rPr>
      </w:pPr>
      <w:r>
        <w:rPr>
          <w:rFonts w:hint="eastAsia"/>
          <w:b/>
          <w:sz w:val="44"/>
          <w:szCs w:val="44"/>
        </w:rPr>
        <w:t>同济大学专利申请</w:t>
      </w:r>
      <w:r>
        <w:rPr>
          <w:b/>
          <w:sz w:val="44"/>
          <w:szCs w:val="44"/>
        </w:rPr>
        <w:t>商业计划书</w:t>
      </w:r>
    </w:p>
    <w:p w14:paraId="5D913FFA"/>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1006"/>
        <w:gridCol w:w="706"/>
        <w:gridCol w:w="1772"/>
        <w:gridCol w:w="1792"/>
        <w:gridCol w:w="549"/>
        <w:gridCol w:w="1565"/>
      </w:tblGrid>
      <w:tr w14:paraId="3023B7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tcPr>
          <w:p w14:paraId="28503FF3">
            <w:pPr>
              <w:spacing w:line="480" w:lineRule="auto"/>
              <w:rPr>
                <w:b/>
              </w:rPr>
            </w:pPr>
            <w:r>
              <w:rPr>
                <w:rFonts w:hint="eastAsia"/>
                <w:b/>
              </w:rPr>
              <w:t>专利名称</w:t>
            </w:r>
          </w:p>
        </w:tc>
        <w:tc>
          <w:tcPr>
            <w:tcW w:w="6384" w:type="dxa"/>
            <w:gridSpan w:val="5"/>
          </w:tcPr>
          <w:p w14:paraId="29B216DC">
            <w:pPr>
              <w:spacing w:line="480" w:lineRule="auto"/>
            </w:pPr>
            <w:r>
              <w:rPr>
                <w:rFonts w:hint="eastAsia" w:ascii="宋体" w:hAnsi="宋体"/>
              </w:rPr>
              <w:t>一种基于多专家机制的前列腺癌肿瘤分期分类方法</w:t>
            </w:r>
          </w:p>
        </w:tc>
      </w:tr>
      <w:tr w14:paraId="7C58F0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center"/>
          </w:tcPr>
          <w:p w14:paraId="6548A727">
            <w:pPr>
              <w:spacing w:line="480" w:lineRule="auto"/>
              <w:rPr>
                <w:b/>
              </w:rPr>
            </w:pPr>
            <w:r>
              <w:rPr>
                <w:rFonts w:hint="eastAsia"/>
                <w:b/>
              </w:rPr>
              <w:t>所属领域</w:t>
            </w:r>
          </w:p>
        </w:tc>
        <w:tc>
          <w:tcPr>
            <w:tcW w:w="6384" w:type="dxa"/>
            <w:gridSpan w:val="5"/>
          </w:tcPr>
          <w:p w14:paraId="2F417330">
            <w:pPr>
              <w:spacing w:line="480" w:lineRule="auto"/>
              <w:rPr>
                <w:rFonts w:ascii="宋体"/>
              </w:rPr>
            </w:pPr>
            <w:r>
              <w:rPr>
                <w:rFonts w:hint="eastAsia" w:ascii="宋体" w:hAnsi="宋体"/>
                <w:sz w:val="24"/>
              </w:rPr>
              <w:t>■</w:t>
            </w:r>
            <w:r>
              <w:rPr>
                <w:rFonts w:hint="eastAsia" w:ascii="宋体" w:hAnsi="宋体"/>
              </w:rPr>
              <w:t>计算机软件</w:t>
            </w:r>
            <w:r>
              <w:rPr>
                <w:rFonts w:ascii="宋体" w:hAnsi="宋体"/>
              </w:rPr>
              <w:t xml:space="preserve">  </w:t>
            </w:r>
            <w:r>
              <w:rPr>
                <w:rFonts w:hint="eastAsia" w:ascii="宋体" w:hAnsi="宋体"/>
              </w:rPr>
              <w:sym w:font="Wingdings 2" w:char="00A3"/>
            </w:r>
            <w:r>
              <w:rPr>
                <w:rFonts w:hint="eastAsia" w:ascii="宋体" w:hAnsi="宋体"/>
              </w:rPr>
              <w:t>交通运输工程</w:t>
            </w:r>
            <w:r>
              <w:rPr>
                <w:rFonts w:ascii="宋体" w:hAnsi="宋体"/>
              </w:rPr>
              <w:t xml:space="preserve">  </w:t>
            </w:r>
            <w:r>
              <w:rPr>
                <w:rFonts w:hint="eastAsia" w:ascii="宋体" w:hAnsi="宋体"/>
              </w:rPr>
              <w:t>□现代农业科学</w:t>
            </w:r>
            <w:r>
              <w:rPr>
                <w:rFonts w:ascii="宋体" w:hAnsi="宋体"/>
              </w:rPr>
              <w:t xml:space="preserve">  </w:t>
            </w:r>
            <w:r>
              <w:rPr>
                <w:rFonts w:hint="eastAsia" w:ascii="宋体" w:hAnsi="宋体"/>
              </w:rPr>
              <w:t>□新能源汽车</w:t>
            </w:r>
          </w:p>
          <w:p w14:paraId="7CECC11D">
            <w:pPr>
              <w:spacing w:line="480" w:lineRule="auto"/>
              <w:rPr>
                <w:rFonts w:ascii="宋体"/>
              </w:rPr>
            </w:pPr>
            <w:r>
              <w:rPr>
                <w:rFonts w:hint="eastAsia" w:ascii="宋体" w:hAnsi="宋体"/>
              </w:rPr>
              <w:t>□铁道与城轨交通</w:t>
            </w:r>
            <w:r>
              <w:rPr>
                <w:rFonts w:ascii="宋体" w:hAnsi="宋体"/>
              </w:rPr>
              <w:t xml:space="preserve">  </w:t>
            </w:r>
            <w:r>
              <w:rPr>
                <w:rFonts w:hint="eastAsia" w:ascii="宋体" w:hAnsi="宋体"/>
              </w:rPr>
              <w:t>□土木建筑工程</w:t>
            </w:r>
            <w:r>
              <w:rPr>
                <w:rFonts w:ascii="宋体" w:hAnsi="宋体"/>
              </w:rPr>
              <w:t xml:space="preserve">  </w:t>
            </w:r>
            <w:r>
              <w:rPr>
                <w:rFonts w:hint="eastAsia" w:ascii="宋体" w:hAnsi="宋体"/>
              </w:rPr>
              <w:t>□电子信息</w:t>
            </w:r>
            <w:r>
              <w:rPr>
                <w:rFonts w:ascii="宋体" w:hAnsi="宋体"/>
              </w:rPr>
              <w:t xml:space="preserve">  </w:t>
            </w:r>
            <w:r>
              <w:rPr>
                <w:rFonts w:hint="eastAsia" w:ascii="宋体" w:hAnsi="宋体"/>
              </w:rPr>
              <w:t>□环境工程</w:t>
            </w:r>
          </w:p>
          <w:p w14:paraId="21B97D15">
            <w:pPr>
              <w:spacing w:line="480" w:lineRule="auto"/>
              <w:rPr>
                <w:rFonts w:ascii="宋体" w:hAnsi="宋体"/>
              </w:rPr>
            </w:pPr>
            <w:r>
              <w:rPr>
                <w:rFonts w:hint="eastAsia" w:ascii="宋体" w:hAnsi="宋体"/>
              </w:rPr>
              <w:t>□新材料</w:t>
            </w:r>
            <w:r>
              <w:rPr>
                <w:rFonts w:ascii="宋体" w:hAnsi="宋体"/>
              </w:rPr>
              <w:t xml:space="preserve">  </w:t>
            </w:r>
            <w:r>
              <w:rPr>
                <w:rFonts w:hint="eastAsia" w:ascii="宋体" w:hAnsi="宋体"/>
              </w:rPr>
              <w:t>□航天航空与力学</w:t>
            </w:r>
            <w:r>
              <w:rPr>
                <w:rFonts w:ascii="宋体" w:hAnsi="宋体"/>
              </w:rPr>
              <w:t xml:space="preserve">  </w:t>
            </w:r>
            <w:r>
              <w:rPr>
                <w:rFonts w:hint="eastAsia" w:ascii="宋体" w:hAnsi="宋体"/>
              </w:rPr>
              <w:t>□机械工程</w:t>
            </w:r>
            <w:r>
              <w:rPr>
                <w:rFonts w:ascii="宋体" w:hAnsi="宋体"/>
              </w:rPr>
              <w:t xml:space="preserve">  </w:t>
            </w:r>
            <w:r>
              <w:rPr>
                <w:rFonts w:hint="eastAsia" w:ascii="宋体" w:hAnsi="宋体"/>
              </w:rPr>
              <w:t>□生物医学</w:t>
            </w:r>
            <w:r>
              <w:rPr>
                <w:rFonts w:ascii="宋体" w:hAnsi="宋体"/>
              </w:rPr>
              <w:t xml:space="preserve"> </w:t>
            </w:r>
          </w:p>
          <w:p w14:paraId="640058BB">
            <w:pPr>
              <w:spacing w:line="480" w:lineRule="auto"/>
            </w:pPr>
            <w:r>
              <w:rPr>
                <w:rFonts w:ascii="宋体" w:hAnsi="宋体"/>
              </w:rPr>
              <mc:AlternateContent>
                <mc:Choice Requires="wps">
                  <w:drawing>
                    <wp:anchor distT="0" distB="0" distL="114300" distR="114300" simplePos="0" relativeHeight="251659264" behindDoc="0" locked="0" layoutInCell="1" allowOverlap="1">
                      <wp:simplePos x="0" y="0"/>
                      <wp:positionH relativeFrom="column">
                        <wp:posOffset>488315</wp:posOffset>
                      </wp:positionH>
                      <wp:positionV relativeFrom="paragraph">
                        <wp:posOffset>278765</wp:posOffset>
                      </wp:positionV>
                      <wp:extent cx="1533525" cy="9525"/>
                      <wp:effectExtent l="0" t="0" r="28575" b="28575"/>
                      <wp:wrapNone/>
                      <wp:docPr id="2" name="直接连接符 2"/>
                      <wp:cNvGraphicFramePr/>
                      <a:graphic xmlns:a="http://schemas.openxmlformats.org/drawingml/2006/main">
                        <a:graphicData uri="http://schemas.microsoft.com/office/word/2010/wordprocessingShape">
                          <wps:wsp>
                            <wps:cNvCnPr/>
                            <wps:spPr>
                              <a:xfrm>
                                <a:off x="0" y="0"/>
                                <a:ext cx="1533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45pt;margin-top:21.95pt;height:0.75pt;width:120.75pt;z-index:251659264;mso-width-relative:page;mso-height-relative:page;" filled="f" stroked="t" coordsize="21600,21600" o:gfxdata="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PCMfbaAAAACAEAAA8AAAAAAAAAAQAgAAAAIgAAAGRycy9kb3ducmV2LnhtbFBL&#10;AQIUABQAAAAIAIdO4kC2f6IQ9AEAANYDAAAOAAAAAAAAAAEAIAAAACkBAABkcnMvZTJvRG9jLnht&#10;bFBLBQYAAAAABgAGAFkBAACPBQAAAAA=&#10;">
                      <v:fill on="f" focussize="0,0"/>
                      <v:stroke color="#4A7EBB [3204]" joinstyle="round"/>
                      <v:imagedata o:title=""/>
                      <o:lock v:ext="edit" aspectratio="f"/>
                    </v:line>
                  </w:pict>
                </mc:Fallback>
              </mc:AlternateContent>
            </w:r>
            <w:r>
              <w:rPr>
                <w:rFonts w:ascii="宋体" w:hAnsi="宋体"/>
              </w:rPr>
              <w:t xml:space="preserve"> </w:t>
            </w:r>
            <w:r>
              <w:rPr>
                <w:rFonts w:hint="eastAsia" w:ascii="宋体" w:hAnsi="宋体"/>
              </w:rPr>
              <w:t>□其他</w:t>
            </w:r>
          </w:p>
        </w:tc>
      </w:tr>
      <w:tr w14:paraId="25A3D5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tcPr>
          <w:p w14:paraId="7B0C4E0D">
            <w:pPr>
              <w:spacing w:line="480" w:lineRule="auto"/>
              <w:rPr>
                <w:b/>
              </w:rPr>
            </w:pPr>
            <w:r>
              <w:rPr>
                <w:rFonts w:hint="eastAsia"/>
                <w:b/>
              </w:rPr>
              <w:t>所属院系</w:t>
            </w:r>
          </w:p>
        </w:tc>
        <w:tc>
          <w:tcPr>
            <w:tcW w:w="2478" w:type="dxa"/>
            <w:gridSpan w:val="2"/>
          </w:tcPr>
          <w:p w14:paraId="221B3B71">
            <w:pPr>
              <w:spacing w:line="480" w:lineRule="auto"/>
            </w:pPr>
            <w:r>
              <w:rPr>
                <w:rFonts w:hint="eastAsia"/>
              </w:rPr>
              <w:t>计算机科学与技术学院</w:t>
            </w:r>
          </w:p>
        </w:tc>
        <w:tc>
          <w:tcPr>
            <w:tcW w:w="1792" w:type="dxa"/>
          </w:tcPr>
          <w:p w14:paraId="09C41520">
            <w:pPr>
              <w:spacing w:line="480" w:lineRule="auto"/>
            </w:pPr>
            <w:r>
              <w:rPr>
                <w:rFonts w:hint="eastAsia"/>
                <w:b/>
              </w:rPr>
              <w:t>申请日期</w:t>
            </w:r>
          </w:p>
        </w:tc>
        <w:tc>
          <w:tcPr>
            <w:tcW w:w="2114" w:type="dxa"/>
            <w:gridSpan w:val="2"/>
          </w:tcPr>
          <w:p w14:paraId="426B3382">
            <w:pPr>
              <w:spacing w:line="480" w:lineRule="auto"/>
            </w:pPr>
            <w:r>
              <w:rPr>
                <w:rFonts w:hint="eastAsia"/>
              </w:rPr>
              <w:t>20</w:t>
            </w:r>
            <w:r>
              <w:t>2</w:t>
            </w:r>
            <w:r>
              <w:rPr>
                <w:rFonts w:hint="eastAsia"/>
              </w:rPr>
              <w:t>5.04</w:t>
            </w:r>
            <w:r>
              <w:t>.</w:t>
            </w:r>
            <w:r>
              <w:rPr>
                <w:rFonts w:hint="eastAsia"/>
              </w:rPr>
              <w:t>8</w:t>
            </w:r>
          </w:p>
        </w:tc>
      </w:tr>
      <w:tr w14:paraId="1DDEB2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tcPr>
          <w:p w14:paraId="194714F9">
            <w:pPr>
              <w:spacing w:line="480" w:lineRule="auto"/>
              <w:rPr>
                <w:b/>
              </w:rPr>
            </w:pPr>
            <w:r>
              <w:rPr>
                <w:rFonts w:hint="eastAsia"/>
                <w:b/>
                <w:sz w:val="18"/>
              </w:rPr>
              <w:t>发明人</w:t>
            </w:r>
          </w:p>
        </w:tc>
        <w:tc>
          <w:tcPr>
            <w:tcW w:w="2478" w:type="dxa"/>
            <w:gridSpan w:val="2"/>
          </w:tcPr>
          <w:p w14:paraId="56FC50A0">
            <w:pPr>
              <w:spacing w:line="480" w:lineRule="auto"/>
            </w:pPr>
            <w:r>
              <w:rPr>
                <w:rFonts w:hint="eastAsia"/>
                <w:szCs w:val="21"/>
              </w:rPr>
              <w:t>倪张凯</w:t>
            </w:r>
          </w:p>
        </w:tc>
        <w:tc>
          <w:tcPr>
            <w:tcW w:w="1792" w:type="dxa"/>
          </w:tcPr>
          <w:p w14:paraId="28ADDE7F">
            <w:pPr>
              <w:spacing w:line="480" w:lineRule="auto"/>
              <w:rPr>
                <w:b/>
              </w:rPr>
            </w:pPr>
            <w:r>
              <w:rPr>
                <w:rFonts w:hint="eastAsia"/>
                <w:b/>
              </w:rPr>
              <w:t>联系人</w:t>
            </w:r>
          </w:p>
        </w:tc>
        <w:tc>
          <w:tcPr>
            <w:tcW w:w="2114" w:type="dxa"/>
            <w:gridSpan w:val="2"/>
          </w:tcPr>
          <w:p w14:paraId="313D75D8">
            <w:pPr>
              <w:spacing w:line="480" w:lineRule="auto"/>
            </w:pPr>
            <w:r>
              <w:rPr>
                <w:rFonts w:hint="eastAsia"/>
              </w:rPr>
              <w:t>倪张凯</w:t>
            </w:r>
          </w:p>
        </w:tc>
      </w:tr>
      <w:tr w14:paraId="7C94CA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tcPr>
          <w:p w14:paraId="037DC8A0">
            <w:pPr>
              <w:spacing w:line="480" w:lineRule="auto"/>
              <w:rPr>
                <w:b/>
              </w:rPr>
            </w:pPr>
            <w:r>
              <w:rPr>
                <w:rFonts w:hint="eastAsia"/>
                <w:b/>
              </w:rPr>
              <w:t>联系人电话</w:t>
            </w:r>
          </w:p>
        </w:tc>
        <w:tc>
          <w:tcPr>
            <w:tcW w:w="2478" w:type="dxa"/>
            <w:gridSpan w:val="2"/>
          </w:tcPr>
          <w:p w14:paraId="0B86626B">
            <w:pPr>
              <w:spacing w:line="480" w:lineRule="auto"/>
            </w:pPr>
            <w:r>
              <w:t>13646019080</w:t>
            </w:r>
          </w:p>
        </w:tc>
        <w:tc>
          <w:tcPr>
            <w:tcW w:w="1792" w:type="dxa"/>
          </w:tcPr>
          <w:p w14:paraId="3D7A5081">
            <w:pPr>
              <w:spacing w:line="480" w:lineRule="auto"/>
              <w:rPr>
                <w:b/>
              </w:rPr>
            </w:pPr>
            <w:r>
              <w:rPr>
                <w:rFonts w:hint="eastAsia"/>
                <w:b/>
              </w:rPr>
              <w:t>联系人邮箱</w:t>
            </w:r>
          </w:p>
        </w:tc>
        <w:tc>
          <w:tcPr>
            <w:tcW w:w="2114" w:type="dxa"/>
            <w:gridSpan w:val="2"/>
          </w:tcPr>
          <w:p w14:paraId="186F3018">
            <w:pPr>
              <w:spacing w:line="480" w:lineRule="auto"/>
            </w:pPr>
            <w:r>
              <w:rPr>
                <w:rFonts w:hint="eastAsia"/>
              </w:rPr>
              <w:t>zkni@tongji.edu.cn</w:t>
            </w:r>
          </w:p>
        </w:tc>
      </w:tr>
      <w:tr w14:paraId="5490FD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73210385">
            <w:pPr>
              <w:spacing w:line="480" w:lineRule="auto"/>
              <w:jc w:val="center"/>
              <w:rPr>
                <w:b/>
              </w:rPr>
            </w:pPr>
            <w:r>
              <w:rPr>
                <w:rFonts w:hint="eastAsia"/>
                <w:b/>
              </w:rPr>
              <w:t>校内发明人信息（表格内容不够可另附文件说明）</w:t>
            </w:r>
          </w:p>
        </w:tc>
      </w:tr>
      <w:tr w14:paraId="6489D5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center"/>
          </w:tcPr>
          <w:p w14:paraId="59629E83">
            <w:pPr>
              <w:jc w:val="center"/>
            </w:pPr>
            <w:r>
              <w:rPr>
                <w:rFonts w:hint="eastAsia"/>
              </w:rPr>
              <w:t>排名</w:t>
            </w:r>
          </w:p>
        </w:tc>
        <w:tc>
          <w:tcPr>
            <w:tcW w:w="1712" w:type="dxa"/>
            <w:gridSpan w:val="2"/>
            <w:vAlign w:val="center"/>
          </w:tcPr>
          <w:p w14:paraId="3767EE8B">
            <w:pPr>
              <w:jc w:val="center"/>
            </w:pPr>
            <w:r>
              <w:rPr>
                <w:rFonts w:hint="eastAsia"/>
              </w:rPr>
              <w:t>姓名</w:t>
            </w:r>
          </w:p>
        </w:tc>
        <w:tc>
          <w:tcPr>
            <w:tcW w:w="1772" w:type="dxa"/>
            <w:vAlign w:val="center"/>
          </w:tcPr>
          <w:p w14:paraId="29371401">
            <w:pPr>
              <w:jc w:val="center"/>
            </w:pPr>
            <w:r>
              <w:rPr>
                <w:rFonts w:hint="eastAsia"/>
              </w:rPr>
              <w:t>工号</w:t>
            </w:r>
            <w:r>
              <w:t>/</w:t>
            </w:r>
            <w:r>
              <w:rPr>
                <w:rFonts w:hint="eastAsia"/>
              </w:rPr>
              <w:t>学号</w:t>
            </w:r>
          </w:p>
        </w:tc>
        <w:tc>
          <w:tcPr>
            <w:tcW w:w="2341" w:type="dxa"/>
            <w:gridSpan w:val="2"/>
            <w:vAlign w:val="center"/>
          </w:tcPr>
          <w:p w14:paraId="4107251B">
            <w:pPr>
              <w:jc w:val="center"/>
            </w:pPr>
            <w:r>
              <w:rPr>
                <w:rFonts w:hint="eastAsia"/>
              </w:rPr>
              <w:t>院系</w:t>
            </w:r>
          </w:p>
        </w:tc>
        <w:tc>
          <w:tcPr>
            <w:tcW w:w="1565" w:type="dxa"/>
            <w:vAlign w:val="center"/>
          </w:tcPr>
          <w:p w14:paraId="4A27663B">
            <w:pPr>
              <w:jc w:val="center"/>
            </w:pPr>
            <w:r>
              <w:rPr>
                <w:rFonts w:hint="eastAsia"/>
              </w:rPr>
              <w:t>职务</w:t>
            </w:r>
          </w:p>
        </w:tc>
      </w:tr>
      <w:tr w14:paraId="78A403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6C02C78">
            <w:pPr>
              <w:spacing w:line="480" w:lineRule="auto"/>
            </w:pPr>
            <w:r>
              <w:t>1</w:t>
            </w:r>
          </w:p>
        </w:tc>
        <w:tc>
          <w:tcPr>
            <w:tcW w:w="1712" w:type="dxa"/>
            <w:gridSpan w:val="2"/>
          </w:tcPr>
          <w:p w14:paraId="6576C704">
            <w:pPr>
              <w:spacing w:line="480" w:lineRule="auto"/>
            </w:pPr>
            <w:r>
              <w:rPr>
                <w:rFonts w:hint="eastAsia"/>
              </w:rPr>
              <w:t>倪张凯</w:t>
            </w:r>
          </w:p>
        </w:tc>
        <w:tc>
          <w:tcPr>
            <w:tcW w:w="1772" w:type="dxa"/>
          </w:tcPr>
          <w:p w14:paraId="18BDD2FA">
            <w:pPr>
              <w:spacing w:line="480" w:lineRule="auto"/>
            </w:pPr>
            <w:r>
              <w:rPr>
                <w:rFonts w:hint="eastAsia"/>
              </w:rPr>
              <w:t>2</w:t>
            </w:r>
            <w:r>
              <w:t>2134</w:t>
            </w:r>
          </w:p>
        </w:tc>
        <w:tc>
          <w:tcPr>
            <w:tcW w:w="2341" w:type="dxa"/>
            <w:gridSpan w:val="2"/>
          </w:tcPr>
          <w:p w14:paraId="45537139">
            <w:pPr>
              <w:spacing w:line="480" w:lineRule="auto"/>
            </w:pPr>
            <w:r>
              <w:rPr>
                <w:rFonts w:hint="eastAsia"/>
              </w:rPr>
              <w:t>计算机科学与技术学院</w:t>
            </w:r>
          </w:p>
        </w:tc>
        <w:tc>
          <w:tcPr>
            <w:tcW w:w="1565" w:type="dxa"/>
          </w:tcPr>
          <w:p w14:paraId="2D2B7E96">
            <w:pPr>
              <w:spacing w:line="480" w:lineRule="auto"/>
            </w:pPr>
            <w:r>
              <w:rPr>
                <w:rFonts w:hint="eastAsia"/>
              </w:rPr>
              <w:t>副教授</w:t>
            </w:r>
          </w:p>
        </w:tc>
      </w:tr>
      <w:tr w14:paraId="33D311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471508C5">
            <w:pPr>
              <w:spacing w:line="480" w:lineRule="auto"/>
            </w:pPr>
            <w:r>
              <w:rPr>
                <w:rFonts w:hint="eastAsia"/>
              </w:rPr>
              <w:t>2</w:t>
            </w:r>
          </w:p>
        </w:tc>
        <w:tc>
          <w:tcPr>
            <w:tcW w:w="1712" w:type="dxa"/>
            <w:gridSpan w:val="2"/>
          </w:tcPr>
          <w:p w14:paraId="0CFE56B2">
            <w:pPr>
              <w:spacing w:line="480" w:lineRule="auto"/>
            </w:pPr>
            <w:r>
              <w:rPr>
                <w:rFonts w:hint="eastAsia"/>
              </w:rPr>
              <w:t>朱俊泽</w:t>
            </w:r>
          </w:p>
        </w:tc>
        <w:tc>
          <w:tcPr>
            <w:tcW w:w="1772" w:type="dxa"/>
          </w:tcPr>
          <w:p w14:paraId="14509813">
            <w:pPr>
              <w:spacing w:line="480" w:lineRule="auto"/>
            </w:pPr>
            <w:r>
              <w:rPr>
                <w:rFonts w:hint="eastAsia"/>
              </w:rPr>
              <w:t>2351114</w:t>
            </w:r>
          </w:p>
        </w:tc>
        <w:tc>
          <w:tcPr>
            <w:tcW w:w="2341" w:type="dxa"/>
            <w:gridSpan w:val="2"/>
            <w:shd w:val="clear" w:color="auto" w:fill="auto"/>
          </w:tcPr>
          <w:p w14:paraId="72E6C739">
            <w:pPr>
              <w:spacing w:line="480" w:lineRule="auto"/>
            </w:pPr>
            <w:r>
              <w:rPr>
                <w:rFonts w:hint="eastAsia"/>
              </w:rPr>
              <w:t>计算机科学与技术学院</w:t>
            </w:r>
          </w:p>
        </w:tc>
        <w:tc>
          <w:tcPr>
            <w:tcW w:w="1565" w:type="dxa"/>
          </w:tcPr>
          <w:p w14:paraId="1A75CA00">
            <w:pPr>
              <w:spacing w:line="480" w:lineRule="auto"/>
            </w:pPr>
            <w:r>
              <w:rPr>
                <w:rFonts w:hint="eastAsia"/>
              </w:rPr>
              <w:t>本科实习生</w:t>
            </w:r>
          </w:p>
        </w:tc>
      </w:tr>
      <w:tr w14:paraId="096139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4361C133">
            <w:pPr>
              <w:spacing w:line="480" w:lineRule="auto"/>
            </w:pPr>
            <w:r>
              <w:rPr>
                <w:rFonts w:hint="eastAsia"/>
              </w:rPr>
              <w:t>3</w:t>
            </w:r>
          </w:p>
        </w:tc>
        <w:tc>
          <w:tcPr>
            <w:tcW w:w="1712" w:type="dxa"/>
            <w:gridSpan w:val="2"/>
          </w:tcPr>
          <w:p w14:paraId="183DA0EA">
            <w:pPr>
              <w:spacing w:line="480" w:lineRule="auto"/>
            </w:pPr>
            <w:r>
              <w:rPr>
                <w:rFonts w:hint="eastAsia"/>
              </w:rPr>
              <w:t>肖润宇</w:t>
            </w:r>
          </w:p>
        </w:tc>
        <w:tc>
          <w:tcPr>
            <w:tcW w:w="1772" w:type="dxa"/>
          </w:tcPr>
          <w:p w14:paraId="0F52ED41">
            <w:pPr>
              <w:spacing w:line="480" w:lineRule="auto"/>
            </w:pPr>
            <w:r>
              <w:rPr>
                <w:rFonts w:hint="eastAsia"/>
              </w:rPr>
              <w:t>2332038</w:t>
            </w:r>
          </w:p>
        </w:tc>
        <w:tc>
          <w:tcPr>
            <w:tcW w:w="2341" w:type="dxa"/>
            <w:gridSpan w:val="2"/>
            <w:shd w:val="clear" w:color="auto" w:fill="auto"/>
          </w:tcPr>
          <w:p w14:paraId="7B648B96">
            <w:pPr>
              <w:spacing w:line="480" w:lineRule="auto"/>
            </w:pPr>
            <w:r>
              <w:rPr>
                <w:rFonts w:hint="eastAsia"/>
              </w:rPr>
              <w:t>计算机科学与技术学院</w:t>
            </w:r>
          </w:p>
        </w:tc>
        <w:tc>
          <w:tcPr>
            <w:tcW w:w="1565" w:type="dxa"/>
          </w:tcPr>
          <w:p w14:paraId="5B4BE371">
            <w:pPr>
              <w:spacing w:line="480" w:lineRule="auto"/>
            </w:pPr>
            <w:r>
              <w:rPr>
                <w:rFonts w:hint="eastAsia"/>
              </w:rPr>
              <w:t>硕士研究生</w:t>
            </w:r>
          </w:p>
        </w:tc>
      </w:tr>
      <w:tr w14:paraId="087FC9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1F6E9D8">
            <w:pPr>
              <w:spacing w:line="480" w:lineRule="auto"/>
            </w:pPr>
            <w:r>
              <w:rPr>
                <w:rFonts w:hint="eastAsia"/>
              </w:rPr>
              <w:t>4</w:t>
            </w:r>
          </w:p>
        </w:tc>
        <w:tc>
          <w:tcPr>
            <w:tcW w:w="1712" w:type="dxa"/>
            <w:gridSpan w:val="2"/>
          </w:tcPr>
          <w:p w14:paraId="2875F3A3">
            <w:pPr>
              <w:spacing w:line="480" w:lineRule="auto"/>
            </w:pPr>
          </w:p>
        </w:tc>
        <w:tc>
          <w:tcPr>
            <w:tcW w:w="1772" w:type="dxa"/>
          </w:tcPr>
          <w:p w14:paraId="50108AE8">
            <w:pPr>
              <w:spacing w:line="480" w:lineRule="auto"/>
            </w:pPr>
          </w:p>
        </w:tc>
        <w:tc>
          <w:tcPr>
            <w:tcW w:w="2341" w:type="dxa"/>
            <w:gridSpan w:val="2"/>
          </w:tcPr>
          <w:p w14:paraId="25ADC631">
            <w:pPr>
              <w:spacing w:line="480" w:lineRule="auto"/>
            </w:pPr>
          </w:p>
        </w:tc>
        <w:tc>
          <w:tcPr>
            <w:tcW w:w="1565" w:type="dxa"/>
          </w:tcPr>
          <w:p w14:paraId="16990C76">
            <w:pPr>
              <w:spacing w:line="480" w:lineRule="auto"/>
            </w:pPr>
          </w:p>
        </w:tc>
      </w:tr>
      <w:tr w14:paraId="7B9675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95C94A2">
            <w:pPr>
              <w:spacing w:line="480" w:lineRule="auto"/>
            </w:pPr>
            <w:r>
              <w:t>5</w:t>
            </w:r>
          </w:p>
        </w:tc>
        <w:tc>
          <w:tcPr>
            <w:tcW w:w="1712" w:type="dxa"/>
            <w:gridSpan w:val="2"/>
          </w:tcPr>
          <w:p w14:paraId="5FBEC5E5">
            <w:pPr>
              <w:spacing w:line="480" w:lineRule="auto"/>
            </w:pPr>
          </w:p>
        </w:tc>
        <w:tc>
          <w:tcPr>
            <w:tcW w:w="1772" w:type="dxa"/>
          </w:tcPr>
          <w:p w14:paraId="34BAC120">
            <w:pPr>
              <w:spacing w:line="480" w:lineRule="auto"/>
            </w:pPr>
          </w:p>
        </w:tc>
        <w:tc>
          <w:tcPr>
            <w:tcW w:w="2341" w:type="dxa"/>
            <w:gridSpan w:val="2"/>
          </w:tcPr>
          <w:p w14:paraId="7B8FC7C8">
            <w:pPr>
              <w:spacing w:line="480" w:lineRule="auto"/>
            </w:pPr>
          </w:p>
        </w:tc>
        <w:tc>
          <w:tcPr>
            <w:tcW w:w="1565" w:type="dxa"/>
          </w:tcPr>
          <w:p w14:paraId="55F037B8">
            <w:pPr>
              <w:spacing w:line="480" w:lineRule="auto"/>
            </w:pPr>
          </w:p>
        </w:tc>
      </w:tr>
      <w:tr w14:paraId="4F3217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562B1E31">
            <w:pPr>
              <w:spacing w:line="480" w:lineRule="auto"/>
              <w:jc w:val="center"/>
            </w:pPr>
            <w:r>
              <w:rPr>
                <w:rFonts w:hint="eastAsia"/>
                <w:b/>
              </w:rPr>
              <w:t>校外发明人信息（表格内容不够可另附文件说明）</w:t>
            </w:r>
          </w:p>
        </w:tc>
      </w:tr>
      <w:tr w14:paraId="7F7397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4FCD3FBB">
            <w:pPr>
              <w:spacing w:line="480" w:lineRule="auto"/>
              <w:jc w:val="center"/>
            </w:pPr>
            <w:r>
              <w:t>排名</w:t>
            </w:r>
          </w:p>
        </w:tc>
        <w:tc>
          <w:tcPr>
            <w:tcW w:w="1712" w:type="dxa"/>
            <w:gridSpan w:val="2"/>
          </w:tcPr>
          <w:p w14:paraId="1012D835">
            <w:pPr>
              <w:spacing w:line="480" w:lineRule="auto"/>
              <w:jc w:val="center"/>
            </w:pPr>
            <w:r>
              <w:t>姓名</w:t>
            </w:r>
          </w:p>
        </w:tc>
        <w:tc>
          <w:tcPr>
            <w:tcW w:w="1772" w:type="dxa"/>
          </w:tcPr>
          <w:p w14:paraId="3DFD129D">
            <w:pPr>
              <w:spacing w:line="480" w:lineRule="auto"/>
              <w:jc w:val="center"/>
            </w:pPr>
            <w:r>
              <w:t>单位</w:t>
            </w:r>
          </w:p>
        </w:tc>
        <w:tc>
          <w:tcPr>
            <w:tcW w:w="2341" w:type="dxa"/>
            <w:gridSpan w:val="2"/>
          </w:tcPr>
          <w:p w14:paraId="30BFF511">
            <w:pPr>
              <w:spacing w:line="480" w:lineRule="auto"/>
              <w:jc w:val="center"/>
            </w:pPr>
            <w:r>
              <w:t>职务</w:t>
            </w:r>
          </w:p>
        </w:tc>
        <w:tc>
          <w:tcPr>
            <w:tcW w:w="1565" w:type="dxa"/>
          </w:tcPr>
          <w:p w14:paraId="4F295375">
            <w:pPr>
              <w:spacing w:line="480" w:lineRule="auto"/>
              <w:jc w:val="center"/>
            </w:pPr>
            <w:r>
              <w:t>联系方式</w:t>
            </w:r>
            <w:r>
              <w:rPr>
                <w:rFonts w:hint="eastAsia"/>
              </w:rPr>
              <w:t>（手机，邮箱）</w:t>
            </w:r>
          </w:p>
        </w:tc>
      </w:tr>
      <w:tr w14:paraId="1AB163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0966D8E">
            <w:pPr>
              <w:spacing w:line="480" w:lineRule="auto"/>
            </w:pPr>
            <w:r>
              <w:t>1</w:t>
            </w:r>
          </w:p>
        </w:tc>
        <w:tc>
          <w:tcPr>
            <w:tcW w:w="1712" w:type="dxa"/>
            <w:gridSpan w:val="2"/>
          </w:tcPr>
          <w:p w14:paraId="75F599C1">
            <w:pPr>
              <w:spacing w:line="480" w:lineRule="auto"/>
            </w:pPr>
            <w:r>
              <w:rPr>
                <w:rFonts w:hint="eastAsia"/>
              </w:rPr>
              <w:t>向莉华</w:t>
            </w:r>
          </w:p>
        </w:tc>
        <w:tc>
          <w:tcPr>
            <w:tcW w:w="1772" w:type="dxa"/>
          </w:tcPr>
          <w:p w14:paraId="6A1871A7">
            <w:pPr>
              <w:spacing w:line="480" w:lineRule="auto"/>
            </w:pPr>
            <w:r>
              <w:rPr>
                <w:rFonts w:hint="eastAsia"/>
              </w:rPr>
              <w:t>上海市第十人民医院</w:t>
            </w:r>
          </w:p>
        </w:tc>
        <w:tc>
          <w:tcPr>
            <w:tcW w:w="2341" w:type="dxa"/>
            <w:gridSpan w:val="2"/>
          </w:tcPr>
          <w:p w14:paraId="46CD0D47">
            <w:pPr>
              <w:spacing w:line="480" w:lineRule="auto"/>
            </w:pPr>
            <w:r>
              <w:rPr>
                <w:rFonts w:hint="eastAsia"/>
              </w:rPr>
              <w:t>主治医师</w:t>
            </w:r>
          </w:p>
        </w:tc>
        <w:tc>
          <w:tcPr>
            <w:tcW w:w="1565" w:type="dxa"/>
          </w:tcPr>
          <w:p w14:paraId="43832F10">
            <w:pPr>
              <w:spacing w:line="480" w:lineRule="auto"/>
            </w:pPr>
            <w:r>
              <w:t>18817366922</w:t>
            </w:r>
            <w:r>
              <w:rPr>
                <w:rFonts w:hint="eastAsia"/>
              </w:rPr>
              <w:t>，</w:t>
            </w:r>
            <w:r>
              <w:t xml:space="preserve"> xianglihua1121@163.com</w:t>
            </w:r>
          </w:p>
        </w:tc>
      </w:tr>
      <w:tr w14:paraId="63ED41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246451D">
            <w:pPr>
              <w:spacing w:line="480" w:lineRule="auto"/>
            </w:pPr>
            <w:r>
              <w:rPr>
                <w:rFonts w:hint="eastAsia"/>
              </w:rPr>
              <w:t>2</w:t>
            </w:r>
          </w:p>
        </w:tc>
        <w:tc>
          <w:tcPr>
            <w:tcW w:w="1712" w:type="dxa"/>
            <w:gridSpan w:val="2"/>
          </w:tcPr>
          <w:p w14:paraId="7CD63848">
            <w:pPr>
              <w:spacing w:line="480" w:lineRule="auto"/>
            </w:pPr>
          </w:p>
        </w:tc>
        <w:tc>
          <w:tcPr>
            <w:tcW w:w="1772" w:type="dxa"/>
          </w:tcPr>
          <w:p w14:paraId="413A1EB0">
            <w:pPr>
              <w:spacing w:line="480" w:lineRule="auto"/>
            </w:pPr>
          </w:p>
        </w:tc>
        <w:tc>
          <w:tcPr>
            <w:tcW w:w="2341" w:type="dxa"/>
            <w:gridSpan w:val="2"/>
          </w:tcPr>
          <w:p w14:paraId="6DB81B94">
            <w:pPr>
              <w:spacing w:line="480" w:lineRule="auto"/>
            </w:pPr>
          </w:p>
        </w:tc>
        <w:tc>
          <w:tcPr>
            <w:tcW w:w="1565" w:type="dxa"/>
          </w:tcPr>
          <w:p w14:paraId="4B06EE35">
            <w:pPr>
              <w:spacing w:line="480" w:lineRule="auto"/>
            </w:pPr>
          </w:p>
        </w:tc>
      </w:tr>
      <w:tr w14:paraId="10AFC4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FF286E0">
            <w:pPr>
              <w:spacing w:line="480" w:lineRule="auto"/>
            </w:pPr>
            <w:r>
              <w:rPr>
                <w:rFonts w:hint="eastAsia"/>
              </w:rPr>
              <w:t>3</w:t>
            </w:r>
          </w:p>
        </w:tc>
        <w:tc>
          <w:tcPr>
            <w:tcW w:w="1712" w:type="dxa"/>
            <w:gridSpan w:val="2"/>
          </w:tcPr>
          <w:p w14:paraId="362D0848">
            <w:pPr>
              <w:spacing w:line="480" w:lineRule="auto"/>
            </w:pPr>
          </w:p>
        </w:tc>
        <w:tc>
          <w:tcPr>
            <w:tcW w:w="1772" w:type="dxa"/>
          </w:tcPr>
          <w:p w14:paraId="78A381E0">
            <w:pPr>
              <w:spacing w:line="480" w:lineRule="auto"/>
            </w:pPr>
          </w:p>
        </w:tc>
        <w:tc>
          <w:tcPr>
            <w:tcW w:w="2341" w:type="dxa"/>
            <w:gridSpan w:val="2"/>
          </w:tcPr>
          <w:p w14:paraId="33BA78C5">
            <w:pPr>
              <w:spacing w:line="480" w:lineRule="auto"/>
            </w:pPr>
          </w:p>
        </w:tc>
        <w:tc>
          <w:tcPr>
            <w:tcW w:w="1565" w:type="dxa"/>
          </w:tcPr>
          <w:p w14:paraId="13B7E3ED">
            <w:pPr>
              <w:spacing w:line="480" w:lineRule="auto"/>
            </w:pPr>
          </w:p>
        </w:tc>
      </w:tr>
      <w:tr w14:paraId="5D74F0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420209F5">
            <w:pPr>
              <w:spacing w:line="480" w:lineRule="auto"/>
            </w:pPr>
            <w:r>
              <w:rPr>
                <w:rFonts w:hint="eastAsia"/>
              </w:rPr>
              <w:t>4</w:t>
            </w:r>
          </w:p>
        </w:tc>
        <w:tc>
          <w:tcPr>
            <w:tcW w:w="1712" w:type="dxa"/>
            <w:gridSpan w:val="2"/>
          </w:tcPr>
          <w:p w14:paraId="6344DBE9">
            <w:pPr>
              <w:spacing w:line="480" w:lineRule="auto"/>
            </w:pPr>
          </w:p>
        </w:tc>
        <w:tc>
          <w:tcPr>
            <w:tcW w:w="1772" w:type="dxa"/>
          </w:tcPr>
          <w:p w14:paraId="63B566AA">
            <w:pPr>
              <w:spacing w:line="480" w:lineRule="auto"/>
            </w:pPr>
          </w:p>
        </w:tc>
        <w:tc>
          <w:tcPr>
            <w:tcW w:w="2341" w:type="dxa"/>
            <w:gridSpan w:val="2"/>
          </w:tcPr>
          <w:p w14:paraId="41306C9D">
            <w:pPr>
              <w:spacing w:line="480" w:lineRule="auto"/>
            </w:pPr>
          </w:p>
        </w:tc>
        <w:tc>
          <w:tcPr>
            <w:tcW w:w="1565" w:type="dxa"/>
          </w:tcPr>
          <w:p w14:paraId="79C3893D">
            <w:pPr>
              <w:spacing w:line="480" w:lineRule="auto"/>
            </w:pPr>
          </w:p>
        </w:tc>
      </w:tr>
      <w:tr w14:paraId="20A0A7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6A4BB965">
            <w:pPr>
              <w:spacing w:line="480" w:lineRule="auto"/>
            </w:pPr>
            <w:r>
              <w:rPr>
                <w:rFonts w:hint="eastAsia"/>
              </w:rPr>
              <w:t>5</w:t>
            </w:r>
          </w:p>
        </w:tc>
        <w:tc>
          <w:tcPr>
            <w:tcW w:w="1712" w:type="dxa"/>
            <w:gridSpan w:val="2"/>
          </w:tcPr>
          <w:p w14:paraId="761436D9">
            <w:pPr>
              <w:spacing w:line="480" w:lineRule="auto"/>
            </w:pPr>
          </w:p>
        </w:tc>
        <w:tc>
          <w:tcPr>
            <w:tcW w:w="1772" w:type="dxa"/>
          </w:tcPr>
          <w:p w14:paraId="008916E6">
            <w:pPr>
              <w:spacing w:line="480" w:lineRule="auto"/>
            </w:pPr>
          </w:p>
        </w:tc>
        <w:tc>
          <w:tcPr>
            <w:tcW w:w="2341" w:type="dxa"/>
            <w:gridSpan w:val="2"/>
          </w:tcPr>
          <w:p w14:paraId="264036F8">
            <w:pPr>
              <w:spacing w:line="480" w:lineRule="auto"/>
            </w:pPr>
          </w:p>
        </w:tc>
        <w:tc>
          <w:tcPr>
            <w:tcW w:w="1565" w:type="dxa"/>
          </w:tcPr>
          <w:p w14:paraId="08899187">
            <w:pPr>
              <w:spacing w:line="480" w:lineRule="auto"/>
            </w:pPr>
          </w:p>
        </w:tc>
      </w:tr>
      <w:tr w14:paraId="4CDFB4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4E3FCA9E">
            <w:pPr>
              <w:spacing w:line="480" w:lineRule="auto"/>
              <w:rPr>
                <w:b/>
              </w:rPr>
            </w:pPr>
            <w:r>
              <w:rPr>
                <w:rFonts w:hint="eastAsia"/>
                <w:b/>
              </w:rPr>
              <w:t>专利内容简述</w:t>
            </w:r>
          </w:p>
          <w:p w14:paraId="004CFF15">
            <w:pPr>
              <w:spacing w:line="300" w:lineRule="auto"/>
              <w:ind w:firstLine="420" w:firstLineChars="200"/>
              <w:rPr>
                <w:szCs w:val="21"/>
              </w:rPr>
            </w:pPr>
            <w:r>
              <w:rPr>
                <w:rFonts w:hint="eastAsia"/>
                <w:szCs w:val="21"/>
              </w:rPr>
              <w:t>针对男性高发病情前列腺癌症，本专利提出了一种改进的检测方法，结合医学分割大模型 MedSAM 2 、nnUNet2++ 、deeplabv3 的先验知识，对超声视频进行分割，优化病灶区域的检测与标注。</w:t>
            </w:r>
          </w:p>
          <w:p w14:paraId="24E2852C">
            <w:pPr>
              <w:spacing w:line="300" w:lineRule="auto"/>
              <w:ind w:firstLine="420" w:firstLineChars="200"/>
              <w:rPr>
                <w:rFonts w:hAnsi="Cambria Math"/>
                <w:szCs w:val="21"/>
              </w:rPr>
            </w:pPr>
            <w:r>
              <w:rPr>
                <w:rFonts w:hint="eastAsia"/>
                <w:szCs w:val="21"/>
              </w:rPr>
              <w:t>具体来说，我们对一个前列腺超声影像视频分成若干个剪辑片段，片段等长，将这些片段分割为多个相等大小的块嵌入，输入我们设计的基于分割病灶的遮掩得分网络，之后把90%的块给遮掩掉，这90%的块就是得分前90%的块。将剩下的块输入视觉转换器的编码器后将原来遮掩的块添加进来输入视觉转换器解码器解码重建，通过重建损失</w:t>
            </w:r>
            <m:oMath>
              <m:sSub>
                <m:sSubPr>
                  <m:ctrlPr>
                    <w:rPr>
                      <w:rFonts w:ascii="Cambria Math" w:hAnsi="Cambria Math"/>
                      <w:szCs w:val="21"/>
                    </w:rPr>
                  </m:ctrlPr>
                </m:sSubPr>
                <m:e>
                  <m:r>
                    <m:rPr>
                      <m:sty m:val="p"/>
                      <m:scr m:val="script"/>
                    </m:rPr>
                    <w:rPr>
                      <w:rFonts w:ascii="Cambria Math" w:hAnsi="Cambria Math"/>
                      <w:szCs w:val="21"/>
                    </w:rPr>
                    <m:t>ℒ</m:t>
                  </m:r>
                  <m:ctrlPr>
                    <w:rPr>
                      <w:rFonts w:ascii="Cambria Math" w:hAnsi="Cambria Math"/>
                      <w:szCs w:val="21"/>
                    </w:rPr>
                  </m:ctrlPr>
                </m:e>
                <m:sub>
                  <m:r>
                    <m:rPr>
                      <m:sty m:val="p"/>
                    </m:rPr>
                    <w:rPr>
                      <w:rFonts w:hint="eastAsia" w:ascii="Cambria Math" w:hAnsi="Cambria Math"/>
                      <w:szCs w:val="21"/>
                    </w:rPr>
                    <m:t>recon</m:t>
                  </m:r>
                  <m:ctrlPr>
                    <w:rPr>
                      <w:rFonts w:ascii="Cambria Math" w:hAnsi="Cambria Math"/>
                      <w:szCs w:val="21"/>
                    </w:rPr>
                  </m:ctrlPr>
                </m:sub>
              </m:sSub>
            </m:oMath>
            <w:r>
              <w:rPr>
                <w:rFonts w:hint="eastAsia" w:hAnsi="Cambria Math"/>
                <w:szCs w:val="21"/>
              </w:rPr>
              <w:t>来更新训练视觉转换器的编码器，通过采样损失</w:t>
            </w:r>
            <m:oMath>
              <m:sSub>
                <m:sSubPr>
                  <m:ctrlPr>
                    <w:rPr>
                      <w:rFonts w:ascii="Cambria Math" w:hAnsi="Cambria Math"/>
                      <w:szCs w:val="21"/>
                    </w:rPr>
                  </m:ctrlPr>
                </m:sSubPr>
                <m:e>
                  <m:r>
                    <m:rPr>
                      <m:sty m:val="p"/>
                      <m:scr m:val="script"/>
                    </m:rPr>
                    <w:rPr>
                      <w:rFonts w:ascii="Cambria Math" w:hAnsi="Cambria Math"/>
                      <w:szCs w:val="21"/>
                    </w:rPr>
                    <m:t>ℒ</m:t>
                  </m:r>
                  <m:ctrlPr>
                    <w:rPr>
                      <w:rFonts w:ascii="Cambria Math" w:hAnsi="Cambria Math"/>
                      <w:szCs w:val="21"/>
                    </w:rPr>
                  </m:ctrlPr>
                </m:e>
                <m:sub>
                  <m:r>
                    <m:rPr>
                      <m:sty m:val="p"/>
                    </m:rPr>
                    <w:rPr>
                      <w:rFonts w:hint="eastAsia" w:ascii="Cambria Math" w:hAnsi="Cambria Math"/>
                      <w:szCs w:val="21"/>
                    </w:rPr>
                    <m:t>sample</m:t>
                  </m:r>
                  <m:ctrlPr>
                    <w:rPr>
                      <w:rFonts w:ascii="Cambria Math" w:hAnsi="Cambria Math"/>
                      <w:szCs w:val="21"/>
                    </w:rPr>
                  </m:ctrlPr>
                </m:sub>
              </m:sSub>
            </m:oMath>
            <w:r>
              <w:rPr>
                <w:rFonts w:hint="eastAsia" w:hAnsi="Cambria Math"/>
                <w:szCs w:val="21"/>
              </w:rPr>
              <w:t>来更新训练遮掩得分网络。</w:t>
            </w:r>
          </w:p>
          <w:p w14:paraId="211BB9D6">
            <w:pPr>
              <w:spacing w:line="300" w:lineRule="auto"/>
              <w:ind w:firstLine="420" w:firstLineChars="200"/>
              <w:rPr>
                <w:rFonts w:hAnsi="Cambria Math"/>
                <w:szCs w:val="21"/>
              </w:rPr>
            </w:pPr>
            <w:r>
              <w:rPr>
                <w:rFonts w:hint="eastAsia" w:hAnsi="Cambria Math"/>
                <w:szCs w:val="21"/>
              </w:rPr>
              <w:t>之后分类阶段，我们将遮掩得分网络冻结。对于一个前列腺超声影像视频，我们同样的策略切分等长的剪辑片段，将这些片段分割为多个等大小的块嵌入，通过遮掩得分网络，将前10%高分的块作为额外提示添加给特征，再输入视觉转换器，最后的特征去通过分类头进行分类。</w:t>
            </w:r>
          </w:p>
          <w:p w14:paraId="3FB5083B">
            <w:pPr>
              <w:spacing w:line="300" w:lineRule="auto"/>
              <w:ind w:firstLine="420" w:firstLineChars="200"/>
              <w:rPr>
                <w:rFonts w:hAnsi="Cambria Math"/>
                <w:szCs w:val="21"/>
              </w:rPr>
            </w:pPr>
            <w:r>
              <w:rPr>
                <w:rFonts w:hint="eastAsia" w:hAnsi="Cambria Math"/>
                <w:szCs w:val="21"/>
              </w:rPr>
              <w:t>利用此专利我们实现了基于自动遮掩重建的关键区域重建预训练和下游的关键区域额外提示微调。</w:t>
            </w:r>
          </w:p>
          <w:p w14:paraId="1F098FD6">
            <w:pPr>
              <w:spacing w:line="276" w:lineRule="auto"/>
              <w:rPr>
                <w:szCs w:val="21"/>
              </w:rPr>
            </w:pPr>
          </w:p>
        </w:tc>
      </w:tr>
      <w:tr w14:paraId="144256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D18749D">
            <w:pPr>
              <w:spacing w:line="480" w:lineRule="auto"/>
              <w:rPr>
                <w:b/>
                <w:sz w:val="24"/>
                <w:szCs w:val="24"/>
              </w:rPr>
            </w:pPr>
            <w:r>
              <w:rPr>
                <w:rFonts w:hint="eastAsia"/>
                <w:b/>
                <w:sz w:val="24"/>
                <w:szCs w:val="24"/>
              </w:rPr>
              <w:t>市场概况分析（主要说明专利背景、转化方向与前景、现有技术情况以及本专利相对于现有技术的创新性、优越性、门槛所在）</w:t>
            </w:r>
          </w:p>
          <w:p w14:paraId="6E3E706B">
            <w:pPr>
              <w:pStyle w:val="14"/>
              <w:spacing w:line="276" w:lineRule="auto"/>
              <w:ind w:firstLine="0" w:firstLineChars="0"/>
              <w:rPr>
                <w:b/>
                <w:bCs/>
                <w:szCs w:val="21"/>
              </w:rPr>
            </w:pPr>
            <w:r>
              <w:rPr>
                <w:rFonts w:hint="eastAsia"/>
                <w:b/>
                <w:bCs/>
                <w:szCs w:val="21"/>
              </w:rPr>
              <w:t>1：专利背景</w:t>
            </w:r>
          </w:p>
          <w:p w14:paraId="6C6B9A5A">
            <w:pPr>
              <w:pStyle w:val="14"/>
              <w:spacing w:line="276" w:lineRule="auto"/>
              <w:rPr>
                <w:szCs w:val="21"/>
              </w:rPr>
            </w:pPr>
            <w:r>
              <w:rPr>
                <w:rFonts w:hint="eastAsia"/>
                <w:szCs w:val="21"/>
              </w:rPr>
              <w:t>前列腺癌症肿瘤分期</w:t>
            </w:r>
          </w:p>
          <w:p w14:paraId="770D54AB">
            <w:pPr>
              <w:pStyle w:val="14"/>
              <w:spacing w:line="276" w:lineRule="auto"/>
              <w:ind w:firstLine="0" w:firstLineChars="0"/>
              <w:rPr>
                <w:b/>
                <w:bCs/>
                <w:szCs w:val="21"/>
              </w:rPr>
            </w:pPr>
            <w:r>
              <w:rPr>
                <w:rFonts w:hint="eastAsia"/>
                <w:b/>
                <w:bCs/>
                <w:szCs w:val="21"/>
              </w:rPr>
              <w:t>2：转化方向与前景</w:t>
            </w:r>
          </w:p>
          <w:p w14:paraId="55762C91">
            <w:pPr>
              <w:pStyle w:val="14"/>
              <w:spacing w:line="276" w:lineRule="auto"/>
              <w:rPr>
                <w:szCs w:val="21"/>
              </w:rPr>
            </w:pPr>
            <w:r>
              <w:rPr>
                <w:rFonts w:hint="eastAsia"/>
                <w:szCs w:val="21"/>
              </w:rPr>
              <w:t>医药公司，医疗机构与技术提供商</w:t>
            </w:r>
          </w:p>
          <w:p w14:paraId="319887AD">
            <w:pPr>
              <w:pStyle w:val="14"/>
              <w:spacing w:line="276" w:lineRule="auto"/>
              <w:ind w:firstLine="0" w:firstLineChars="0"/>
              <w:rPr>
                <w:b/>
                <w:bCs/>
                <w:szCs w:val="21"/>
              </w:rPr>
            </w:pPr>
            <w:r>
              <w:rPr>
                <w:rFonts w:hint="eastAsia"/>
                <w:b/>
                <w:bCs/>
                <w:szCs w:val="21"/>
              </w:rPr>
              <w:t>3：现有技术情况</w:t>
            </w:r>
          </w:p>
          <w:p w14:paraId="4399B8E3">
            <w:pPr>
              <w:pStyle w:val="14"/>
              <w:spacing w:line="276" w:lineRule="auto"/>
              <w:rPr>
                <w:szCs w:val="21"/>
              </w:rPr>
            </w:pPr>
            <w:r>
              <w:rPr>
                <w:rFonts w:hint="eastAsia"/>
                <w:szCs w:val="21"/>
              </w:rPr>
              <w:t>利用积累的无标签数据通过遮掩重建的方式学习图像特征，再用少量有标签数据微调、对前列腺癌症做出诊断是AI for Medical的一个重要课题，在此过程中重建学习到的超声影像特征就和模型在下游微调中的能力强相关。要达到能够利用与实际诊断场景的程度，还存在以下问题：</w:t>
            </w:r>
          </w:p>
          <w:p w14:paraId="7B56A96A">
            <w:pPr>
              <w:pStyle w:val="14"/>
              <w:numPr>
                <w:ilvl w:val="0"/>
                <w:numId w:val="1"/>
              </w:numPr>
              <w:spacing w:line="276" w:lineRule="auto"/>
              <w:ind w:firstLine="210" w:firstLineChars="100"/>
              <w:rPr>
                <w:szCs w:val="21"/>
              </w:rPr>
            </w:pPr>
            <w:r>
              <w:rPr>
                <w:rFonts w:hint="eastAsia"/>
                <w:szCs w:val="21"/>
              </w:rPr>
              <w:t>：通过重建学习到的特征有限，并且学习到的重建区域有很大范围和前列腺癌症超声影像的核心病灶区域无关，导致模型学习的图像特征有限。</w:t>
            </w:r>
          </w:p>
          <w:p w14:paraId="46AE3640">
            <w:pPr>
              <w:pStyle w:val="14"/>
              <w:numPr>
                <w:ilvl w:val="0"/>
                <w:numId w:val="1"/>
              </w:numPr>
              <w:spacing w:line="276" w:lineRule="auto"/>
              <w:ind w:firstLine="210" w:firstLineChars="100"/>
              <w:rPr>
                <w:szCs w:val="21"/>
              </w:rPr>
            </w:pPr>
            <w:r>
              <w:rPr>
                <w:rFonts w:hint="eastAsia"/>
                <w:szCs w:val="21"/>
              </w:rPr>
              <w:t>：现有模型未考虑到多医生采样之间的数据差异导致验证水平较差，无法达到医工落地的基本要求。</w:t>
            </w:r>
          </w:p>
          <w:p w14:paraId="24642113">
            <w:pPr>
              <w:pStyle w:val="14"/>
              <w:spacing w:line="276" w:lineRule="auto"/>
              <w:ind w:firstLine="0" w:firstLineChars="0"/>
              <w:rPr>
                <w:szCs w:val="21"/>
              </w:rPr>
            </w:pPr>
            <w:r>
              <w:rPr>
                <w:rFonts w:hint="eastAsia"/>
                <w:szCs w:val="21"/>
              </w:rPr>
              <w:t>4：本专利创新优越性</w:t>
            </w:r>
          </w:p>
          <w:p w14:paraId="305597FE">
            <w:pPr>
              <w:pStyle w:val="14"/>
              <w:spacing w:line="276" w:lineRule="auto"/>
              <w:rPr>
                <w:szCs w:val="21"/>
              </w:rPr>
            </w:pPr>
            <w:r>
              <w:rPr>
                <w:rFonts w:hint="eastAsia"/>
                <w:szCs w:val="21"/>
              </w:rPr>
              <w:t>本发明提出一种基于大模型先验知识的可泛化的遮掩重建的聚焦方法，其创新性总结如下：</w:t>
            </w:r>
          </w:p>
          <w:p w14:paraId="5EB4A6B1">
            <w:pPr>
              <w:pStyle w:val="14"/>
              <w:numPr>
                <w:ilvl w:val="0"/>
                <w:numId w:val="2"/>
              </w:numPr>
              <w:spacing w:line="276" w:lineRule="auto"/>
              <w:ind w:firstLine="210" w:firstLineChars="100"/>
              <w:rPr>
                <w:szCs w:val="21"/>
              </w:rPr>
            </w:pPr>
            <w:r>
              <w:rPr>
                <w:rFonts w:hint="eastAsia"/>
                <w:szCs w:val="21"/>
              </w:rPr>
              <w:t>：专注重建机制：对于无标签的遮掩重建数据，我们基于三个大模型给出的分割内容设计了一个遮掩得分网络，该网络对图像区域遮掩给出评分，该评分聚焦于核心的病灶区域，迫使模型遮掩重建核心病灶区域学习该部分特征。</w:t>
            </w:r>
          </w:p>
          <w:p w14:paraId="536BAFB6">
            <w:pPr>
              <w:pStyle w:val="14"/>
              <w:numPr>
                <w:ilvl w:val="0"/>
                <w:numId w:val="2"/>
              </w:numPr>
              <w:spacing w:line="276" w:lineRule="auto"/>
              <w:ind w:firstLine="210" w:firstLineChars="100"/>
              <w:rPr>
                <w:szCs w:val="21"/>
              </w:rPr>
            </w:pPr>
            <w:r>
              <w:rPr>
                <w:rFonts w:hint="eastAsia"/>
                <w:szCs w:val="21"/>
              </w:rPr>
              <w:t>：微调额外提示机制：本发明提出了一个基于重建预训练部分训练的遮掩得分网络的额外提示机制，该机制在下游微调时将图像中的重要区域的表征添加，辅助下游微调训练分类。</w:t>
            </w:r>
          </w:p>
          <w:p w14:paraId="6540CA08">
            <w:pPr>
              <w:pStyle w:val="14"/>
              <w:spacing w:line="276" w:lineRule="auto"/>
              <w:ind w:firstLine="0" w:firstLineChars="0"/>
              <w:rPr>
                <w:szCs w:val="21"/>
              </w:rPr>
            </w:pPr>
          </w:p>
          <w:p w14:paraId="01938AD9">
            <w:pPr>
              <w:spacing w:line="276" w:lineRule="auto"/>
              <w:rPr>
                <w:szCs w:val="21"/>
              </w:rPr>
            </w:pPr>
          </w:p>
        </w:tc>
      </w:tr>
      <w:tr w14:paraId="0A05A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4FFFA0D6">
            <w:pPr>
              <w:spacing w:line="480" w:lineRule="auto"/>
              <w:rPr>
                <w:b/>
                <w:sz w:val="24"/>
                <w:szCs w:val="24"/>
              </w:rPr>
            </w:pPr>
            <w:r>
              <w:rPr>
                <w:rFonts w:hint="eastAsia"/>
                <w:b/>
                <w:sz w:val="24"/>
                <w:szCs w:val="24"/>
              </w:rPr>
              <w:t>竞争和风险</w:t>
            </w:r>
            <w:r>
              <w:rPr>
                <w:b/>
                <w:sz w:val="24"/>
                <w:szCs w:val="24"/>
              </w:rPr>
              <w:t>（</w:t>
            </w:r>
            <w:r>
              <w:rPr>
                <w:rFonts w:hint="eastAsia"/>
                <w:b/>
                <w:sz w:val="24"/>
                <w:szCs w:val="24"/>
              </w:rPr>
              <w:t>项目</w:t>
            </w:r>
            <w:r>
              <w:rPr>
                <w:b/>
                <w:sz w:val="24"/>
                <w:szCs w:val="24"/>
              </w:rPr>
              <w:t>可能出现的风险及拟采取的控制措施）</w:t>
            </w:r>
          </w:p>
          <w:p w14:paraId="1CCA24DF">
            <w:pPr>
              <w:spacing w:line="276" w:lineRule="auto"/>
              <w:ind w:firstLine="420" w:firstLineChars="200"/>
              <w:rPr>
                <w:szCs w:val="21"/>
              </w:rPr>
            </w:pPr>
          </w:p>
          <w:p w14:paraId="11F54932">
            <w:pPr>
              <w:spacing w:line="276" w:lineRule="auto"/>
            </w:pPr>
          </w:p>
        </w:tc>
      </w:tr>
      <w:tr w14:paraId="0F51BA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1739CEE4">
            <w:pPr>
              <w:spacing w:line="480" w:lineRule="auto"/>
              <w:rPr>
                <w:b/>
                <w:sz w:val="24"/>
                <w:szCs w:val="24"/>
              </w:rPr>
            </w:pPr>
            <w:r>
              <w:rPr>
                <w:rFonts w:hint="eastAsia"/>
                <w:b/>
                <w:sz w:val="24"/>
                <w:szCs w:val="24"/>
              </w:rPr>
              <w:t>成果成熟度</w:t>
            </w:r>
          </w:p>
          <w:p w14:paraId="1FC2CD7B">
            <w:pPr>
              <w:spacing w:line="480" w:lineRule="auto"/>
              <w:rPr>
                <w:szCs w:val="21"/>
              </w:rPr>
            </w:pPr>
            <w:r>
              <w:rPr>
                <w:rFonts w:hint="eastAsia" w:ascii="宋体" w:hAnsi="宋体"/>
              </w:rPr>
              <w:t>☑实验室研制</w:t>
            </w:r>
            <w:r>
              <w:rPr>
                <w:rFonts w:ascii="宋体" w:hAnsi="宋体"/>
              </w:rPr>
              <w:t xml:space="preserve">  </w:t>
            </w:r>
            <w:r>
              <w:rPr>
                <w:rFonts w:hint="eastAsia" w:ascii="宋体" w:hAnsi="宋体"/>
              </w:rPr>
              <w:t>□试生产</w:t>
            </w:r>
            <w:r>
              <w:rPr>
                <w:rFonts w:ascii="宋体" w:hAnsi="宋体"/>
              </w:rPr>
              <w:t xml:space="preserve">  </w:t>
            </w:r>
            <w:r>
              <w:rPr>
                <w:rFonts w:hint="eastAsia" w:ascii="宋体" w:hAnsi="宋体"/>
              </w:rPr>
              <w:t>□小批量生产</w:t>
            </w:r>
            <w:r>
              <w:rPr>
                <w:rFonts w:ascii="宋体" w:hAnsi="宋体"/>
              </w:rPr>
              <w:t xml:space="preserve">  </w:t>
            </w:r>
            <w:r>
              <w:rPr>
                <w:rFonts w:hint="eastAsia" w:ascii="宋体" w:hAnsi="宋体"/>
              </w:rPr>
              <w:t>□批量生产</w:t>
            </w:r>
            <w:r>
              <w:rPr>
                <w:rFonts w:ascii="宋体" w:hAnsi="宋体"/>
              </w:rPr>
              <w:t xml:space="preserve">  </w:t>
            </w:r>
            <w:r>
              <w:rPr>
                <w:rFonts w:hint="eastAsia" w:ascii="宋体" w:hAnsi="宋体"/>
              </w:rPr>
              <w:t>□其他</w:t>
            </w:r>
            <w:r>
              <w:rPr>
                <w:rFonts w:ascii="宋体" w:hAnsi="宋体"/>
              </w:rPr>
              <w:t>___________________</w:t>
            </w:r>
          </w:p>
        </w:tc>
      </w:tr>
      <w:tr w14:paraId="341FFF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4D6EAF61">
            <w:pPr>
              <w:widowControl/>
              <w:shd w:val="clear" w:color="auto" w:fill="FFFFFF"/>
              <w:jc w:val="left"/>
              <w:rPr>
                <w:b/>
                <w:sz w:val="24"/>
                <w:szCs w:val="24"/>
              </w:rPr>
            </w:pPr>
            <w:r>
              <w:rPr>
                <w:b/>
                <w:sz w:val="24"/>
                <w:szCs w:val="24"/>
              </w:rPr>
              <w:t>投资说明（投资方式，增资</w:t>
            </w:r>
            <w:r>
              <w:fldChar w:fldCharType="begin"/>
            </w:r>
            <w:r>
              <w:instrText xml:space="preserve"> HYPERLINK "http://www.marketing110.com/html/show-23-104-1.html" \t "_blank" </w:instrText>
            </w:r>
            <w:r>
              <w:fldChar w:fldCharType="separate"/>
            </w:r>
            <w:r>
              <w:rPr>
                <w:b/>
                <w:sz w:val="24"/>
                <w:szCs w:val="24"/>
              </w:rPr>
              <w:t>需求</w:t>
            </w:r>
            <w:r>
              <w:rPr>
                <w:b/>
                <w:sz w:val="24"/>
                <w:szCs w:val="24"/>
              </w:rPr>
              <w:fldChar w:fldCharType="end"/>
            </w:r>
            <w:r>
              <w:rPr>
                <w:b/>
                <w:sz w:val="24"/>
                <w:szCs w:val="24"/>
              </w:rPr>
              <w:t>：原因、数量、</w:t>
            </w:r>
            <w:r>
              <w:rPr>
                <w:rFonts w:hint="eastAsia"/>
                <w:b/>
                <w:sz w:val="24"/>
                <w:szCs w:val="24"/>
              </w:rPr>
              <w:t>测算依据</w:t>
            </w:r>
            <w:r>
              <w:rPr>
                <w:b/>
                <w:sz w:val="24"/>
                <w:szCs w:val="24"/>
              </w:rPr>
              <w:t>、</w:t>
            </w:r>
            <w:r>
              <w:rPr>
                <w:rFonts w:hint="eastAsia"/>
                <w:b/>
                <w:sz w:val="24"/>
                <w:szCs w:val="24"/>
              </w:rPr>
              <w:t>时间</w:t>
            </w:r>
            <w:r>
              <w:rPr>
                <w:b/>
                <w:sz w:val="24"/>
                <w:szCs w:val="24"/>
              </w:rPr>
              <w:t>、</w:t>
            </w:r>
            <w:r>
              <w:rPr>
                <w:rFonts w:hint="eastAsia"/>
                <w:b/>
                <w:sz w:val="24"/>
                <w:szCs w:val="24"/>
              </w:rPr>
              <w:t>产出</w:t>
            </w:r>
            <w:r>
              <w:rPr>
                <w:b/>
                <w:sz w:val="24"/>
                <w:szCs w:val="24"/>
              </w:rPr>
              <w:t>、</w:t>
            </w:r>
            <w:r>
              <w:rPr>
                <w:rFonts w:hint="eastAsia"/>
                <w:b/>
                <w:sz w:val="24"/>
                <w:szCs w:val="24"/>
              </w:rPr>
              <w:t>周期</w:t>
            </w:r>
            <w:r>
              <w:rPr>
                <w:b/>
                <w:sz w:val="24"/>
                <w:szCs w:val="24"/>
              </w:rPr>
              <w:t>）</w:t>
            </w:r>
          </w:p>
          <w:p w14:paraId="2A4AF541">
            <w:pPr>
              <w:spacing w:line="276" w:lineRule="auto"/>
              <w:rPr>
                <w:szCs w:val="21"/>
              </w:rPr>
            </w:pPr>
          </w:p>
          <w:p w14:paraId="18AF905D">
            <w:pPr>
              <w:spacing w:line="276" w:lineRule="auto"/>
              <w:ind w:firstLine="420" w:firstLineChars="200"/>
              <w:rPr>
                <w:szCs w:val="21"/>
              </w:rPr>
            </w:pPr>
          </w:p>
          <w:p w14:paraId="2241F9C8">
            <w:pPr>
              <w:spacing w:line="276" w:lineRule="auto"/>
              <w:ind w:firstLine="420" w:firstLineChars="200"/>
              <w:rPr>
                <w:szCs w:val="21"/>
              </w:rPr>
            </w:pPr>
          </w:p>
          <w:p w14:paraId="581837C2">
            <w:pPr>
              <w:spacing w:line="276" w:lineRule="auto"/>
              <w:ind w:firstLine="420" w:firstLineChars="200"/>
              <w:rPr>
                <w:rFonts w:asciiTheme="minorEastAsia" w:hAnsiTheme="minorEastAsia" w:cstheme="minorEastAsia"/>
              </w:rPr>
            </w:pPr>
          </w:p>
        </w:tc>
      </w:tr>
      <w:tr w14:paraId="785A1A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4AAB958D">
            <w:pPr>
              <w:spacing w:line="480" w:lineRule="auto"/>
              <w:rPr>
                <w:b/>
                <w:sz w:val="24"/>
                <w:szCs w:val="24"/>
              </w:rPr>
            </w:pPr>
            <w:r>
              <w:rPr>
                <w:b/>
                <w:sz w:val="24"/>
                <w:szCs w:val="24"/>
              </w:rPr>
              <w:t>合作企业情况</w:t>
            </w:r>
            <w:r>
              <w:rPr>
                <w:rFonts w:hint="eastAsia"/>
                <w:b/>
                <w:sz w:val="24"/>
                <w:szCs w:val="24"/>
              </w:rPr>
              <w:t>（详细说明企业情况、合作进展、企业预期投入资金）</w:t>
            </w:r>
          </w:p>
          <w:p w14:paraId="33950E80">
            <w:pPr>
              <w:spacing w:line="480" w:lineRule="auto"/>
              <w:ind w:firstLine="480" w:firstLineChars="200"/>
              <w:rPr>
                <w:rFonts w:hint="default" w:eastAsiaTheme="minorEastAsia"/>
                <w:bCs/>
                <w:sz w:val="24"/>
                <w:szCs w:val="24"/>
                <w:lang w:val="en-US" w:eastAsia="zh-CN"/>
              </w:rPr>
            </w:pPr>
            <w:r>
              <w:rPr>
                <w:rFonts w:hint="eastAsia"/>
                <w:bCs/>
                <w:sz w:val="24"/>
                <w:szCs w:val="24"/>
              </w:rPr>
              <w:t>上海市第十人民医院（同济十院）：提供550组病人影像视频数据，帮助</w:t>
            </w:r>
            <w:r>
              <w:rPr>
                <w:rFonts w:hint="eastAsia"/>
                <w:bCs/>
                <w:sz w:val="24"/>
                <w:szCs w:val="24"/>
                <w:lang w:val="en-US" w:eastAsia="zh-CN"/>
              </w:rPr>
              <w:t>标注视频录制者长期回访统计病情标签。</w:t>
            </w:r>
            <w:bookmarkStart w:id="0" w:name="_GoBack"/>
            <w:bookmarkEnd w:id="0"/>
          </w:p>
        </w:tc>
      </w:tr>
      <w:tr w14:paraId="266071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3C6873A">
            <w:pPr>
              <w:spacing w:line="480" w:lineRule="auto"/>
              <w:rPr>
                <w:b/>
                <w:sz w:val="24"/>
                <w:szCs w:val="24"/>
              </w:rPr>
            </w:pPr>
            <w:r>
              <w:rPr>
                <w:rFonts w:hint="eastAsia"/>
                <w:b/>
                <w:sz w:val="24"/>
                <w:szCs w:val="24"/>
              </w:rPr>
              <w:t>希望实施方式（可多选）</w:t>
            </w:r>
          </w:p>
          <w:p w14:paraId="623E9336">
            <w:pPr>
              <w:spacing w:line="480" w:lineRule="auto"/>
              <w:rPr>
                <w:rFonts w:ascii="宋体"/>
              </w:rPr>
            </w:pPr>
            <w:r>
              <w:rPr>
                <w:rFonts w:hint="eastAsia" w:ascii="宋体" w:hAnsi="宋体"/>
              </w:rPr>
              <w:t>☑技术开发</w:t>
            </w:r>
            <w:r>
              <w:rPr>
                <w:rFonts w:ascii="宋体" w:hAnsi="宋体"/>
              </w:rPr>
              <w:t xml:space="preserve">  </w:t>
            </w:r>
            <w:r>
              <w:rPr>
                <w:rFonts w:hint="eastAsia" w:ascii="宋体" w:hAnsi="宋体"/>
              </w:rPr>
              <w:t>☑技术转让</w:t>
            </w:r>
            <w:r>
              <w:rPr>
                <w:rFonts w:ascii="宋体" w:hAnsi="宋体"/>
              </w:rPr>
              <w:t xml:space="preserve">  </w:t>
            </w:r>
            <w:r>
              <w:rPr>
                <w:rFonts w:hint="eastAsia" w:ascii="宋体" w:hAnsi="宋体"/>
              </w:rPr>
              <w:t>□技术咨询</w:t>
            </w:r>
            <w:r>
              <w:rPr>
                <w:rFonts w:ascii="宋体" w:hAnsi="宋体"/>
              </w:rPr>
              <w:t xml:space="preserve">  </w:t>
            </w:r>
            <w:r>
              <w:rPr>
                <w:rFonts w:hint="eastAsia" w:ascii="宋体" w:hAnsi="宋体"/>
              </w:rPr>
              <w:t>□技术服务（包括培训、检测等）</w:t>
            </w:r>
          </w:p>
          <w:p w14:paraId="15A261FA">
            <w:pPr>
              <w:spacing w:line="480" w:lineRule="auto"/>
              <w:rPr>
                <w:rFonts w:ascii="宋体"/>
              </w:rPr>
            </w:pPr>
            <w:r>
              <w:rPr>
                <w:rFonts w:hint="eastAsia" w:ascii="宋体" w:hAnsi="宋体"/>
              </w:rPr>
              <w:t>□共建研发试验基地</w:t>
            </w:r>
            <w:r>
              <w:rPr>
                <w:rFonts w:ascii="宋体" w:hAnsi="宋体"/>
              </w:rPr>
              <w:t xml:space="preserve">  </w:t>
            </w:r>
            <w:r>
              <w:rPr>
                <w:rFonts w:hint="eastAsia" w:ascii="宋体" w:hAnsi="宋体"/>
              </w:rPr>
              <w:t>□其他</w:t>
            </w:r>
          </w:p>
          <w:p w14:paraId="119561C1">
            <w:pPr>
              <w:spacing w:line="480" w:lineRule="auto"/>
              <w:rPr>
                <w:rFonts w:ascii="宋体"/>
                <w:b/>
              </w:rPr>
            </w:pPr>
            <w:r>
              <w:rPr>
                <w:rFonts w:hint="eastAsia" w:ascii="宋体" w:hAnsi="宋体"/>
                <w:b/>
              </w:rPr>
              <w:t>请对上述实施设想进行详细说明</w:t>
            </w:r>
          </w:p>
          <w:p w14:paraId="2AD3E9DA">
            <w:pPr>
              <w:spacing w:line="276" w:lineRule="auto"/>
              <w:ind w:firstLine="420" w:firstLineChars="200"/>
            </w:pPr>
            <w:r>
              <w:rPr>
                <w:rFonts w:hint="eastAsia"/>
              </w:rPr>
              <w:t>接受多种形式的合作，包括技术</w:t>
            </w:r>
            <w:r>
              <w:t>开发、技术转让以及</w:t>
            </w:r>
            <w:r>
              <w:rPr>
                <w:rFonts w:hint="eastAsia"/>
              </w:rPr>
              <w:t>共建研发试验基地等形式。投资方可以投资入股，我方负责进行技术研发，以确保本专利能够顺利投入商业应用。</w:t>
            </w:r>
          </w:p>
          <w:p w14:paraId="1EBF27A4">
            <w:pPr>
              <w:spacing w:line="276" w:lineRule="auto"/>
              <w:ind w:firstLine="422" w:firstLineChars="200"/>
              <w:rPr>
                <w:b/>
              </w:rPr>
            </w:pPr>
          </w:p>
        </w:tc>
      </w:tr>
      <w:tr w14:paraId="6DD453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5CDEF670">
            <w:pPr>
              <w:spacing w:line="480" w:lineRule="auto"/>
              <w:rPr>
                <w:b/>
                <w:sz w:val="24"/>
                <w:szCs w:val="24"/>
              </w:rPr>
            </w:pPr>
            <w:r>
              <w:rPr>
                <w:rFonts w:hint="eastAsia"/>
                <w:b/>
                <w:sz w:val="24"/>
                <w:szCs w:val="24"/>
              </w:rPr>
              <w:t>可能对该成果感兴趣的公司或机构（可详细说明并附上相关联系人信息）</w:t>
            </w:r>
          </w:p>
          <w:p w14:paraId="70A10F49">
            <w:pPr>
              <w:spacing w:line="480" w:lineRule="auto"/>
              <w:ind w:firstLine="420" w:firstLineChars="200"/>
              <w:rPr>
                <w:szCs w:val="21"/>
              </w:rPr>
            </w:pPr>
            <w:r>
              <w:rPr>
                <w:rFonts w:hint="eastAsia"/>
              </w:rPr>
              <w:t>复旦大学附属肿瘤医院、上海市质子重离子医院、浙江大学医学院附属第一医院、上海交通大学医学院附属瑞金医院北院、上海市第一人民医院、上海市第六人民医院、上海市第九人民医院</w:t>
            </w:r>
          </w:p>
        </w:tc>
      </w:tr>
      <w:tr w14:paraId="5F6B13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058A1E69">
            <w:pPr>
              <w:spacing w:line="480" w:lineRule="auto"/>
              <w:rPr>
                <w:b/>
                <w:sz w:val="24"/>
                <w:szCs w:val="24"/>
                <w:u w:val="single"/>
              </w:rPr>
            </w:pPr>
            <w:r>
              <w:rPr>
                <w:rFonts w:hint="eastAsia"/>
                <w:b/>
                <w:sz w:val="24"/>
                <w:szCs w:val="24"/>
                <w:u w:val="single"/>
              </w:rPr>
              <w:t>目前主要竞争公司或机构（可详细说明并附上相关联系人信息）</w:t>
            </w:r>
          </w:p>
          <w:p w14:paraId="3CED82AC">
            <w:pPr>
              <w:spacing w:line="480" w:lineRule="auto"/>
              <w:ind w:firstLine="420" w:firstLineChars="200"/>
              <w:rPr>
                <w:rFonts w:hint="eastAsia"/>
              </w:rPr>
            </w:pPr>
            <w:r>
              <w:rPr>
                <w:rFonts w:hint="eastAsia"/>
              </w:rPr>
              <w:t>飞</w:t>
            </w:r>
            <w:r>
              <w:rPr>
                <w:rFonts w:hint="eastAsia"/>
              </w:rPr>
              <w:t>利浦（Philips）</w:t>
            </w:r>
          </w:p>
          <w:p w14:paraId="064D7B1F">
            <w:pPr>
              <w:spacing w:line="480" w:lineRule="auto"/>
              <w:ind w:firstLine="420" w:firstLineChars="200"/>
              <w:rPr>
                <w:rFonts w:hint="eastAsia"/>
              </w:rPr>
            </w:pPr>
            <w:r>
              <w:rPr>
                <w:rFonts w:hint="eastAsia"/>
              </w:rPr>
              <w:t>飞利浦在医疗影像领域拥有广泛的技术积累，尤其是在超声成像技术方面。它们的超声影像设备在前列腺癌检测方面有很大应用潜力。</w:t>
            </w:r>
          </w:p>
          <w:p w14:paraId="4356AE32">
            <w:pPr>
              <w:spacing w:line="480" w:lineRule="auto"/>
              <w:ind w:firstLine="420" w:firstLineChars="200"/>
              <w:rPr>
                <w:rFonts w:hint="eastAsia"/>
              </w:rPr>
            </w:pPr>
            <w:r>
              <w:rPr>
                <w:rFonts w:hint="eastAsia"/>
              </w:rPr>
              <w:t xml:space="preserve">GE医疗（GE Healthcare） </w:t>
            </w:r>
          </w:p>
          <w:p w14:paraId="46A63480">
            <w:pPr>
              <w:spacing w:line="480" w:lineRule="auto"/>
              <w:ind w:firstLine="420" w:firstLineChars="200"/>
              <w:rPr>
                <w:rFonts w:hint="eastAsia"/>
              </w:rPr>
            </w:pPr>
            <w:r>
              <w:rPr>
                <w:rFonts w:hint="eastAsia"/>
              </w:rPr>
              <w:t>GE医疗是全球领先的医疗设备公司之一，尤其在影像学领域，如超声、CT和MRI等方面都有着强大的技术实力。GE的超声产品广泛应用于癌症筛查和诊断领域。</w:t>
            </w:r>
          </w:p>
          <w:p w14:paraId="761CFA35">
            <w:pPr>
              <w:spacing w:line="480" w:lineRule="auto"/>
              <w:ind w:firstLine="420" w:firstLineChars="200"/>
              <w:rPr>
                <w:rFonts w:hint="eastAsia"/>
              </w:rPr>
            </w:pPr>
            <w:r>
              <w:rPr>
                <w:rFonts w:hint="eastAsia"/>
              </w:rPr>
              <w:t>西门子健康（Siemens Healthineers）</w:t>
            </w:r>
          </w:p>
          <w:p w14:paraId="39B42989">
            <w:pPr>
              <w:spacing w:line="480" w:lineRule="auto"/>
              <w:ind w:firstLine="420" w:firstLineChars="200"/>
              <w:rPr>
                <w:rFonts w:hint="eastAsia"/>
              </w:rPr>
            </w:pPr>
            <w:r>
              <w:rPr>
                <w:rFonts w:hint="eastAsia"/>
              </w:rPr>
              <w:t>西门子健康在医学影像设备和医疗解决方案方面具有领先地位，尤其在超声技术和影像诊断领域。它们在前列腺癌等疾病的早期诊断中有着重要的技术应用。</w:t>
            </w:r>
          </w:p>
          <w:p w14:paraId="720859F0">
            <w:pPr>
              <w:spacing w:line="480" w:lineRule="auto"/>
              <w:ind w:firstLine="420" w:firstLineChars="200"/>
              <w:rPr>
                <w:rFonts w:hint="eastAsia" w:eastAsiaTheme="minorEastAsia"/>
                <w:lang w:eastAsia="zh-CN"/>
              </w:rPr>
            </w:pPr>
            <w:r>
              <w:rPr>
                <w:rFonts w:hint="eastAsia"/>
              </w:rPr>
              <w:t>佳能医疗（Canon Medical Systems</w:t>
            </w:r>
            <w:r>
              <w:rPr>
                <w:rFonts w:hint="eastAsia"/>
                <w:lang w:eastAsia="zh-CN"/>
              </w:rPr>
              <w:t>）</w:t>
            </w:r>
          </w:p>
          <w:p w14:paraId="750456E9">
            <w:pPr>
              <w:spacing w:line="480" w:lineRule="auto"/>
              <w:ind w:firstLine="420" w:firstLineChars="200"/>
              <w:rPr>
                <w:rFonts w:hint="eastAsia"/>
              </w:rPr>
            </w:pPr>
            <w:r>
              <w:rPr>
                <w:rFonts w:hint="eastAsia"/>
              </w:rPr>
              <w:t>佳能医疗在医学影像领域也有重要的布局，特别是在超声设备和影像技术方面，适用于前列腺癌等癌症的诊断。</w:t>
            </w:r>
          </w:p>
          <w:p w14:paraId="133E1F6C">
            <w:pPr>
              <w:spacing w:line="480" w:lineRule="auto"/>
              <w:ind w:firstLine="420" w:firstLineChars="200"/>
              <w:rPr>
                <w:rFonts w:hint="eastAsia"/>
              </w:rPr>
            </w:pPr>
            <w:r>
              <w:rPr>
                <w:rFonts w:hint="eastAsia"/>
              </w:rPr>
              <w:t>博达（BD, Becton Dickinson）</w:t>
            </w:r>
          </w:p>
          <w:p w14:paraId="4D3F9E6F">
            <w:pPr>
              <w:spacing w:line="480" w:lineRule="auto"/>
              <w:ind w:firstLine="420" w:firstLineChars="200"/>
              <w:rPr>
                <w:rFonts w:hint="eastAsia"/>
              </w:rPr>
            </w:pPr>
            <w:r>
              <w:rPr>
                <w:rFonts w:hint="eastAsia"/>
              </w:rPr>
              <w:t>博达公司在医疗诊断和设备领域有广泛的业务，尽管它主要以医疗器械和实验室设备为主，但其在影像诊断相关的产品也有所涉及，尤其是在与癌症相关的产品和技术上</w:t>
            </w:r>
          </w:p>
          <w:p w14:paraId="0AE1F8EA">
            <w:pPr>
              <w:spacing w:line="480" w:lineRule="auto"/>
              <w:ind w:firstLine="420" w:firstLineChars="200"/>
              <w:rPr>
                <w:rFonts w:hint="eastAsia"/>
              </w:rPr>
            </w:pPr>
            <w:r>
              <w:rPr>
                <w:rFonts w:hint="eastAsia"/>
              </w:rPr>
              <w:t>迈瑞医疗（Mindray）</w:t>
            </w:r>
          </w:p>
          <w:p w14:paraId="3FB3D299">
            <w:pPr>
              <w:spacing w:line="480" w:lineRule="auto"/>
              <w:ind w:firstLine="420" w:firstLineChars="200"/>
              <w:rPr>
                <w:rFonts w:hint="eastAsia"/>
              </w:rPr>
            </w:pPr>
            <w:r>
              <w:rPr>
                <w:rFonts w:hint="eastAsia"/>
              </w:rPr>
              <w:t>迈瑞医疗是中国领先的医疗设备公司，尤其在超声影像设备领域有着很强的市场份额。它们的超声设备也被用于前列腺癌的筛查和诊断。</w:t>
            </w:r>
          </w:p>
          <w:p w14:paraId="38EC43E1">
            <w:pPr>
              <w:spacing w:line="480" w:lineRule="auto"/>
              <w:ind w:firstLine="420" w:firstLineChars="200"/>
              <w:rPr>
                <w:rFonts w:hint="eastAsia"/>
              </w:rPr>
            </w:pPr>
          </w:p>
          <w:p w14:paraId="1EBD4E21">
            <w:pPr>
              <w:spacing w:line="480" w:lineRule="auto"/>
              <w:ind w:firstLine="482" w:firstLineChars="200"/>
              <w:rPr>
                <w:b/>
                <w:sz w:val="24"/>
                <w:szCs w:val="24"/>
                <w:u w:val="single"/>
              </w:rPr>
            </w:pPr>
          </w:p>
        </w:tc>
      </w:tr>
    </w:tbl>
    <w:p w14:paraId="29D2CCA6">
      <w:pPr>
        <w:rPr>
          <w:u w:val="singl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Wingdings 2">
    <w:panose1 w:val="050201020105070707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9290D3"/>
    <w:multiLevelType w:val="singleLevel"/>
    <w:tmpl w:val="6E9290D3"/>
    <w:lvl w:ilvl="0" w:tentative="0">
      <w:start w:val="1"/>
      <w:numFmt w:val="decimal"/>
      <w:suff w:val="nothing"/>
      <w:lvlText w:val="（%1）"/>
      <w:lvlJc w:val="left"/>
    </w:lvl>
  </w:abstractNum>
  <w:abstractNum w:abstractNumId="1">
    <w:nsid w:val="702CC90E"/>
    <w:multiLevelType w:val="singleLevel"/>
    <w:tmpl w:val="702CC90E"/>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6FE"/>
    <w:rsid w:val="00003C94"/>
    <w:rsid w:val="00005C64"/>
    <w:rsid w:val="00017550"/>
    <w:rsid w:val="00020CBF"/>
    <w:rsid w:val="00031AC2"/>
    <w:rsid w:val="00044501"/>
    <w:rsid w:val="00047B62"/>
    <w:rsid w:val="00050A02"/>
    <w:rsid w:val="00065BA9"/>
    <w:rsid w:val="0007357E"/>
    <w:rsid w:val="000769B7"/>
    <w:rsid w:val="00081D5A"/>
    <w:rsid w:val="0008408E"/>
    <w:rsid w:val="000854C4"/>
    <w:rsid w:val="00085C49"/>
    <w:rsid w:val="00094C0C"/>
    <w:rsid w:val="00096A11"/>
    <w:rsid w:val="000D0970"/>
    <w:rsid w:val="000D6F1E"/>
    <w:rsid w:val="000E6BA3"/>
    <w:rsid w:val="00126064"/>
    <w:rsid w:val="00127F2F"/>
    <w:rsid w:val="001306BB"/>
    <w:rsid w:val="0013269F"/>
    <w:rsid w:val="00133D86"/>
    <w:rsid w:val="00134FF8"/>
    <w:rsid w:val="001423B4"/>
    <w:rsid w:val="00145208"/>
    <w:rsid w:val="001501E4"/>
    <w:rsid w:val="00150368"/>
    <w:rsid w:val="00165EEF"/>
    <w:rsid w:val="001832DC"/>
    <w:rsid w:val="001906AD"/>
    <w:rsid w:val="001A6B78"/>
    <w:rsid w:val="001B12CA"/>
    <w:rsid w:val="001C1091"/>
    <w:rsid w:val="001D57A4"/>
    <w:rsid w:val="001D6AA8"/>
    <w:rsid w:val="001E0279"/>
    <w:rsid w:val="001E25D0"/>
    <w:rsid w:val="001F12A3"/>
    <w:rsid w:val="001F2D84"/>
    <w:rsid w:val="00200D70"/>
    <w:rsid w:val="002070EE"/>
    <w:rsid w:val="00213DBF"/>
    <w:rsid w:val="0023301E"/>
    <w:rsid w:val="0024064B"/>
    <w:rsid w:val="002605B6"/>
    <w:rsid w:val="00260DCD"/>
    <w:rsid w:val="00262D57"/>
    <w:rsid w:val="002638A8"/>
    <w:rsid w:val="00275E28"/>
    <w:rsid w:val="00281B19"/>
    <w:rsid w:val="002865DC"/>
    <w:rsid w:val="002876C9"/>
    <w:rsid w:val="002A1592"/>
    <w:rsid w:val="002B3102"/>
    <w:rsid w:val="002B769E"/>
    <w:rsid w:val="002C5A44"/>
    <w:rsid w:val="002D1EC3"/>
    <w:rsid w:val="002E1C6F"/>
    <w:rsid w:val="002F3740"/>
    <w:rsid w:val="002F5465"/>
    <w:rsid w:val="00303C1E"/>
    <w:rsid w:val="003162BA"/>
    <w:rsid w:val="0033710B"/>
    <w:rsid w:val="0034005B"/>
    <w:rsid w:val="00341289"/>
    <w:rsid w:val="00364B11"/>
    <w:rsid w:val="00372139"/>
    <w:rsid w:val="003811DD"/>
    <w:rsid w:val="00387F9D"/>
    <w:rsid w:val="0039364C"/>
    <w:rsid w:val="003A33FC"/>
    <w:rsid w:val="003B6EC4"/>
    <w:rsid w:val="003C7AE1"/>
    <w:rsid w:val="003E456E"/>
    <w:rsid w:val="00403541"/>
    <w:rsid w:val="00412D09"/>
    <w:rsid w:val="004142B2"/>
    <w:rsid w:val="00414B14"/>
    <w:rsid w:val="0041743F"/>
    <w:rsid w:val="00433BC4"/>
    <w:rsid w:val="004426EF"/>
    <w:rsid w:val="00456296"/>
    <w:rsid w:val="004607A5"/>
    <w:rsid w:val="00481352"/>
    <w:rsid w:val="00493E48"/>
    <w:rsid w:val="004A689C"/>
    <w:rsid w:val="004B1B66"/>
    <w:rsid w:val="004B5D82"/>
    <w:rsid w:val="004D3439"/>
    <w:rsid w:val="004D4979"/>
    <w:rsid w:val="004E6633"/>
    <w:rsid w:val="004E76EA"/>
    <w:rsid w:val="004E7A68"/>
    <w:rsid w:val="004F2EFC"/>
    <w:rsid w:val="004F4A7D"/>
    <w:rsid w:val="005018DA"/>
    <w:rsid w:val="00502B40"/>
    <w:rsid w:val="005221C0"/>
    <w:rsid w:val="00523E29"/>
    <w:rsid w:val="00537082"/>
    <w:rsid w:val="005410DD"/>
    <w:rsid w:val="00542DF2"/>
    <w:rsid w:val="005437F4"/>
    <w:rsid w:val="0055035C"/>
    <w:rsid w:val="00551C8C"/>
    <w:rsid w:val="00556AFE"/>
    <w:rsid w:val="00560FCC"/>
    <w:rsid w:val="00563D03"/>
    <w:rsid w:val="00564906"/>
    <w:rsid w:val="005758C9"/>
    <w:rsid w:val="0059034A"/>
    <w:rsid w:val="00596C1B"/>
    <w:rsid w:val="00597094"/>
    <w:rsid w:val="005976A2"/>
    <w:rsid w:val="005B47EA"/>
    <w:rsid w:val="005B64B6"/>
    <w:rsid w:val="005B7E6A"/>
    <w:rsid w:val="005C333B"/>
    <w:rsid w:val="005D2456"/>
    <w:rsid w:val="005F16E6"/>
    <w:rsid w:val="0060251C"/>
    <w:rsid w:val="006076F4"/>
    <w:rsid w:val="00610D32"/>
    <w:rsid w:val="006121AA"/>
    <w:rsid w:val="00612EEF"/>
    <w:rsid w:val="00621017"/>
    <w:rsid w:val="00626091"/>
    <w:rsid w:val="00640C13"/>
    <w:rsid w:val="00642A8D"/>
    <w:rsid w:val="0065425B"/>
    <w:rsid w:val="00664B09"/>
    <w:rsid w:val="00671B0D"/>
    <w:rsid w:val="00675EA5"/>
    <w:rsid w:val="00680348"/>
    <w:rsid w:val="00680CFC"/>
    <w:rsid w:val="0069002B"/>
    <w:rsid w:val="006970E7"/>
    <w:rsid w:val="006A0744"/>
    <w:rsid w:val="006A35FC"/>
    <w:rsid w:val="006C0729"/>
    <w:rsid w:val="006C7711"/>
    <w:rsid w:val="006D1850"/>
    <w:rsid w:val="006D6FC2"/>
    <w:rsid w:val="00703CC0"/>
    <w:rsid w:val="0070470F"/>
    <w:rsid w:val="00716988"/>
    <w:rsid w:val="007249E2"/>
    <w:rsid w:val="00727948"/>
    <w:rsid w:val="00732FEB"/>
    <w:rsid w:val="007459E9"/>
    <w:rsid w:val="0074619B"/>
    <w:rsid w:val="00755FCC"/>
    <w:rsid w:val="00767CB4"/>
    <w:rsid w:val="0077168D"/>
    <w:rsid w:val="007718EA"/>
    <w:rsid w:val="00773350"/>
    <w:rsid w:val="00790C14"/>
    <w:rsid w:val="00791334"/>
    <w:rsid w:val="007921D8"/>
    <w:rsid w:val="00792647"/>
    <w:rsid w:val="00793B28"/>
    <w:rsid w:val="007A33D1"/>
    <w:rsid w:val="007A6A6B"/>
    <w:rsid w:val="007B0C0D"/>
    <w:rsid w:val="007B1F2B"/>
    <w:rsid w:val="007B65B8"/>
    <w:rsid w:val="007C40F5"/>
    <w:rsid w:val="007D40F5"/>
    <w:rsid w:val="007F1D18"/>
    <w:rsid w:val="00805E8B"/>
    <w:rsid w:val="00824BCF"/>
    <w:rsid w:val="00836C2A"/>
    <w:rsid w:val="00861CF9"/>
    <w:rsid w:val="00872125"/>
    <w:rsid w:val="0087502D"/>
    <w:rsid w:val="00890AD2"/>
    <w:rsid w:val="00892723"/>
    <w:rsid w:val="008928D1"/>
    <w:rsid w:val="008A1BE9"/>
    <w:rsid w:val="008B3C48"/>
    <w:rsid w:val="008B598A"/>
    <w:rsid w:val="008B7356"/>
    <w:rsid w:val="008C7454"/>
    <w:rsid w:val="008D4A1D"/>
    <w:rsid w:val="008F4984"/>
    <w:rsid w:val="008F532F"/>
    <w:rsid w:val="00901AB7"/>
    <w:rsid w:val="00901E80"/>
    <w:rsid w:val="00902B9B"/>
    <w:rsid w:val="009147DC"/>
    <w:rsid w:val="00914E56"/>
    <w:rsid w:val="0092530C"/>
    <w:rsid w:val="00930430"/>
    <w:rsid w:val="009360C4"/>
    <w:rsid w:val="00946963"/>
    <w:rsid w:val="0095154D"/>
    <w:rsid w:val="00966D04"/>
    <w:rsid w:val="0097537C"/>
    <w:rsid w:val="0098376F"/>
    <w:rsid w:val="0099064A"/>
    <w:rsid w:val="009933B9"/>
    <w:rsid w:val="0099360A"/>
    <w:rsid w:val="009946BE"/>
    <w:rsid w:val="00995E75"/>
    <w:rsid w:val="009A13D2"/>
    <w:rsid w:val="009A1892"/>
    <w:rsid w:val="009A570F"/>
    <w:rsid w:val="009B4BC5"/>
    <w:rsid w:val="009C1E06"/>
    <w:rsid w:val="009D0C89"/>
    <w:rsid w:val="009E23E0"/>
    <w:rsid w:val="009E4A34"/>
    <w:rsid w:val="009F6BBE"/>
    <w:rsid w:val="00A03372"/>
    <w:rsid w:val="00A178F3"/>
    <w:rsid w:val="00A2713A"/>
    <w:rsid w:val="00A406FD"/>
    <w:rsid w:val="00A50AE5"/>
    <w:rsid w:val="00A57675"/>
    <w:rsid w:val="00A64C88"/>
    <w:rsid w:val="00A71DB5"/>
    <w:rsid w:val="00A81B9B"/>
    <w:rsid w:val="00A85DDA"/>
    <w:rsid w:val="00A8649C"/>
    <w:rsid w:val="00AA55E9"/>
    <w:rsid w:val="00AB415F"/>
    <w:rsid w:val="00AB47A5"/>
    <w:rsid w:val="00AC5DAE"/>
    <w:rsid w:val="00AD4C7C"/>
    <w:rsid w:val="00AE0923"/>
    <w:rsid w:val="00AE13CE"/>
    <w:rsid w:val="00AE3ED1"/>
    <w:rsid w:val="00AF4AD2"/>
    <w:rsid w:val="00AF6EC3"/>
    <w:rsid w:val="00B050D7"/>
    <w:rsid w:val="00B06257"/>
    <w:rsid w:val="00B1271B"/>
    <w:rsid w:val="00B12C5F"/>
    <w:rsid w:val="00B256FE"/>
    <w:rsid w:val="00B277DC"/>
    <w:rsid w:val="00B41006"/>
    <w:rsid w:val="00B552CB"/>
    <w:rsid w:val="00B651DC"/>
    <w:rsid w:val="00B652DE"/>
    <w:rsid w:val="00B7436D"/>
    <w:rsid w:val="00B76A35"/>
    <w:rsid w:val="00B87A7B"/>
    <w:rsid w:val="00B95EEC"/>
    <w:rsid w:val="00B975A9"/>
    <w:rsid w:val="00BA5F1F"/>
    <w:rsid w:val="00BA6E4C"/>
    <w:rsid w:val="00BA7EF0"/>
    <w:rsid w:val="00BB0C72"/>
    <w:rsid w:val="00BB4F04"/>
    <w:rsid w:val="00BC1114"/>
    <w:rsid w:val="00BC1768"/>
    <w:rsid w:val="00BC5946"/>
    <w:rsid w:val="00BD6D51"/>
    <w:rsid w:val="00BE4B7E"/>
    <w:rsid w:val="00BF0ABE"/>
    <w:rsid w:val="00BF2D4C"/>
    <w:rsid w:val="00BF6865"/>
    <w:rsid w:val="00C061AC"/>
    <w:rsid w:val="00C139B7"/>
    <w:rsid w:val="00C217D6"/>
    <w:rsid w:val="00C26647"/>
    <w:rsid w:val="00C330D5"/>
    <w:rsid w:val="00C33189"/>
    <w:rsid w:val="00C415C9"/>
    <w:rsid w:val="00C54211"/>
    <w:rsid w:val="00C665C5"/>
    <w:rsid w:val="00C73D95"/>
    <w:rsid w:val="00C7443E"/>
    <w:rsid w:val="00C86857"/>
    <w:rsid w:val="00C9094B"/>
    <w:rsid w:val="00CA0C48"/>
    <w:rsid w:val="00CB0ADC"/>
    <w:rsid w:val="00CB2201"/>
    <w:rsid w:val="00CC4005"/>
    <w:rsid w:val="00CC4612"/>
    <w:rsid w:val="00CC54AB"/>
    <w:rsid w:val="00CD2774"/>
    <w:rsid w:val="00CD524B"/>
    <w:rsid w:val="00CF4C48"/>
    <w:rsid w:val="00CF73B1"/>
    <w:rsid w:val="00D00211"/>
    <w:rsid w:val="00D0087A"/>
    <w:rsid w:val="00D04ED1"/>
    <w:rsid w:val="00D13B84"/>
    <w:rsid w:val="00D20E71"/>
    <w:rsid w:val="00D30AE3"/>
    <w:rsid w:val="00D33AD2"/>
    <w:rsid w:val="00D52FA7"/>
    <w:rsid w:val="00D54751"/>
    <w:rsid w:val="00D57C0F"/>
    <w:rsid w:val="00D648F3"/>
    <w:rsid w:val="00D850A8"/>
    <w:rsid w:val="00D9137D"/>
    <w:rsid w:val="00D942D0"/>
    <w:rsid w:val="00DA5515"/>
    <w:rsid w:val="00DD36F7"/>
    <w:rsid w:val="00DD5A38"/>
    <w:rsid w:val="00DD63B1"/>
    <w:rsid w:val="00DE7DCD"/>
    <w:rsid w:val="00DF7C70"/>
    <w:rsid w:val="00E00F3F"/>
    <w:rsid w:val="00E07030"/>
    <w:rsid w:val="00E07A00"/>
    <w:rsid w:val="00E12E31"/>
    <w:rsid w:val="00E1413D"/>
    <w:rsid w:val="00E202C7"/>
    <w:rsid w:val="00E23565"/>
    <w:rsid w:val="00E34FE1"/>
    <w:rsid w:val="00E40962"/>
    <w:rsid w:val="00E41F7E"/>
    <w:rsid w:val="00E5458A"/>
    <w:rsid w:val="00E66C83"/>
    <w:rsid w:val="00E73968"/>
    <w:rsid w:val="00E77C0A"/>
    <w:rsid w:val="00E82094"/>
    <w:rsid w:val="00E94ED9"/>
    <w:rsid w:val="00EB054B"/>
    <w:rsid w:val="00EB6310"/>
    <w:rsid w:val="00EC4920"/>
    <w:rsid w:val="00EE0258"/>
    <w:rsid w:val="00F01E64"/>
    <w:rsid w:val="00F0679D"/>
    <w:rsid w:val="00F11EEB"/>
    <w:rsid w:val="00F138B2"/>
    <w:rsid w:val="00F14094"/>
    <w:rsid w:val="00F16B9B"/>
    <w:rsid w:val="00F25337"/>
    <w:rsid w:val="00F33D35"/>
    <w:rsid w:val="00F35D4D"/>
    <w:rsid w:val="00F44B20"/>
    <w:rsid w:val="00F529A7"/>
    <w:rsid w:val="00F61401"/>
    <w:rsid w:val="00F61895"/>
    <w:rsid w:val="00F7188D"/>
    <w:rsid w:val="00F83327"/>
    <w:rsid w:val="00F86B8E"/>
    <w:rsid w:val="00FB0C21"/>
    <w:rsid w:val="00FB281F"/>
    <w:rsid w:val="00FE212C"/>
    <w:rsid w:val="00FE2B17"/>
    <w:rsid w:val="00FE2D22"/>
    <w:rsid w:val="00FF4A81"/>
    <w:rsid w:val="01BA2FFA"/>
    <w:rsid w:val="025B7E44"/>
    <w:rsid w:val="06386020"/>
    <w:rsid w:val="07542C11"/>
    <w:rsid w:val="08676C44"/>
    <w:rsid w:val="0A7B07E8"/>
    <w:rsid w:val="0B5C1E18"/>
    <w:rsid w:val="103D4175"/>
    <w:rsid w:val="11806100"/>
    <w:rsid w:val="12367626"/>
    <w:rsid w:val="12C75339"/>
    <w:rsid w:val="13691527"/>
    <w:rsid w:val="14993790"/>
    <w:rsid w:val="15CC5805"/>
    <w:rsid w:val="189B7FE2"/>
    <w:rsid w:val="197E6844"/>
    <w:rsid w:val="1E844CEA"/>
    <w:rsid w:val="1F055095"/>
    <w:rsid w:val="201E0D5E"/>
    <w:rsid w:val="206765F9"/>
    <w:rsid w:val="21111D99"/>
    <w:rsid w:val="23572940"/>
    <w:rsid w:val="29142071"/>
    <w:rsid w:val="2B1C4F36"/>
    <w:rsid w:val="2B6B1444"/>
    <w:rsid w:val="2C7F1D66"/>
    <w:rsid w:val="2CAD496A"/>
    <w:rsid w:val="2D597D7C"/>
    <w:rsid w:val="2DA44ACF"/>
    <w:rsid w:val="2FED294A"/>
    <w:rsid w:val="31062F59"/>
    <w:rsid w:val="3119625B"/>
    <w:rsid w:val="314845D9"/>
    <w:rsid w:val="334D3EDF"/>
    <w:rsid w:val="35062903"/>
    <w:rsid w:val="39003DA5"/>
    <w:rsid w:val="39975E2E"/>
    <w:rsid w:val="3B8B3833"/>
    <w:rsid w:val="402878D0"/>
    <w:rsid w:val="424830B5"/>
    <w:rsid w:val="448B3C07"/>
    <w:rsid w:val="4B1C67F7"/>
    <w:rsid w:val="4BA12D56"/>
    <w:rsid w:val="4CE2021B"/>
    <w:rsid w:val="4D7E412B"/>
    <w:rsid w:val="4F901FDB"/>
    <w:rsid w:val="4FC0624E"/>
    <w:rsid w:val="514D46F5"/>
    <w:rsid w:val="525C5A95"/>
    <w:rsid w:val="54B13F96"/>
    <w:rsid w:val="58003C12"/>
    <w:rsid w:val="5B400C0D"/>
    <w:rsid w:val="5E3F4822"/>
    <w:rsid w:val="604E569A"/>
    <w:rsid w:val="60FF5C09"/>
    <w:rsid w:val="613535F6"/>
    <w:rsid w:val="6388585A"/>
    <w:rsid w:val="643D497C"/>
    <w:rsid w:val="64BD2656"/>
    <w:rsid w:val="65E34896"/>
    <w:rsid w:val="67117561"/>
    <w:rsid w:val="68077DF9"/>
    <w:rsid w:val="68EF7F35"/>
    <w:rsid w:val="6A6948B5"/>
    <w:rsid w:val="6E22686A"/>
    <w:rsid w:val="6F367CA8"/>
    <w:rsid w:val="73AA526A"/>
    <w:rsid w:val="764A35FF"/>
    <w:rsid w:val="7A2D0C57"/>
    <w:rsid w:val="7B567926"/>
    <w:rsid w:val="7C3C18C4"/>
    <w:rsid w:val="7C7A090E"/>
    <w:rsid w:val="7D273A81"/>
    <w:rsid w:val="7F925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unhideWhenUsed/>
    <w:qFormat/>
    <w:uiPriority w:val="9"/>
    <w:pPr>
      <w:keepNext/>
      <w:keepLines/>
      <w:spacing w:before="260" w:after="260" w:line="416" w:lineRule="auto"/>
      <w:outlineLvl w:val="1"/>
    </w:pPr>
    <w:rPr>
      <w:rFonts w:ascii="Cambria" w:hAnsi="Cambria" w:eastAsia="宋体" w:cs="Times New Roman"/>
      <w:b/>
      <w:bCs/>
      <w:kern w:val="0"/>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3"/>
    <w:qFormat/>
    <w:uiPriority w:val="0"/>
    <w:pPr>
      <w:widowControl/>
      <w:jc w:val="left"/>
    </w:pPr>
    <w:rPr>
      <w:rFonts w:ascii="Arial" w:hAnsi="Arial" w:eastAsia="宋体" w:cs="Times New Roman"/>
      <w:i/>
      <w:kern w:val="0"/>
      <w:sz w:val="16"/>
      <w:szCs w:val="20"/>
      <w:lang w:val="zh-CN"/>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rPr>
      <w:sz w:val="24"/>
    </w:rPr>
  </w:style>
  <w:style w:type="character" w:styleId="9">
    <w:name w:val="Strong"/>
    <w:basedOn w:val="8"/>
    <w:qFormat/>
    <w:uiPriority w:val="22"/>
    <w:rPr>
      <w:b/>
    </w:rPr>
  </w:style>
  <w:style w:type="character" w:customStyle="1" w:styleId="10">
    <w:name w:val="标题 2 字符"/>
    <w:basedOn w:val="8"/>
    <w:link w:val="2"/>
    <w:qFormat/>
    <w:uiPriority w:val="9"/>
    <w:rPr>
      <w:rFonts w:ascii="Cambria" w:hAnsi="Cambria" w:eastAsia="宋体" w:cs="Times New Roman"/>
      <w:b/>
      <w:bCs/>
      <w:kern w:val="0"/>
      <w:sz w:val="32"/>
      <w:szCs w:val="32"/>
    </w:rPr>
  </w:style>
  <w:style w:type="character" w:customStyle="1" w:styleId="11">
    <w:name w:val="页眉 字符"/>
    <w:basedOn w:val="8"/>
    <w:link w:val="5"/>
    <w:qFormat/>
    <w:uiPriority w:val="99"/>
    <w:rPr>
      <w:sz w:val="18"/>
      <w:szCs w:val="18"/>
    </w:rPr>
  </w:style>
  <w:style w:type="character" w:customStyle="1" w:styleId="12">
    <w:name w:val="页脚 字符"/>
    <w:basedOn w:val="8"/>
    <w:link w:val="4"/>
    <w:qFormat/>
    <w:uiPriority w:val="99"/>
    <w:rPr>
      <w:sz w:val="18"/>
      <w:szCs w:val="18"/>
    </w:rPr>
  </w:style>
  <w:style w:type="character" w:customStyle="1" w:styleId="13">
    <w:name w:val="正文文本 字符"/>
    <w:basedOn w:val="8"/>
    <w:link w:val="3"/>
    <w:qFormat/>
    <w:uiPriority w:val="0"/>
    <w:rPr>
      <w:rFonts w:ascii="Arial" w:hAnsi="Arial" w:eastAsia="宋体" w:cs="Times New Roman"/>
      <w:i/>
      <w:kern w:val="0"/>
      <w:sz w:val="16"/>
      <w:szCs w:val="20"/>
      <w:lang w:val="zh-CN" w:eastAsia="zh-CN"/>
    </w:rPr>
  </w:style>
  <w:style w:type="paragraph" w:styleId="1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http:/sdwm.org</Company>
  <Pages>5</Pages>
  <Words>1755</Words>
  <Characters>1906</Characters>
  <Lines>15</Lines>
  <Paragraphs>4</Paragraphs>
  <TotalTime>13</TotalTime>
  <ScaleCrop>false</ScaleCrop>
  <LinksUpToDate>false</LinksUpToDate>
  <CharactersWithSpaces>1950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2023-08-31T01:09:00Z</dcterms:created>
  <dc:creator>赵玮</dc:creator>
  <cp:lastModifiedBy>几</cp:lastModifiedBy>
  <dcterms:modified xsi:type="dcterms:W3CDTF">2025-04-22T07:02:47Z</dcterms:modified>
  <cp:revision>362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eyJoZGlkIjoiNjRkZDE1MjIxMjM2NmMxYzY5Y2M3N2FjNDEyZThkY2QiLCJ1c2VySWQiOiIxNDA3ODIxNzQzIn0=</vt:lpwstr>
  </property>
  <property fmtid="{D5CDD505-2E9C-101B-9397-08002B2CF9AE}" pid="4" name="ICV">
    <vt:lpwstr>33C189BE9F3F478AB0CB10F449B480AE_12</vt:lpwstr>
  </property>
</Properties>
</file>