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71" w:before="0" w:after="225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Project BRD: OmniRoute Smart Logistics Engine</w:t>
      </w:r>
    </w:p>
    <w:p>
      <w:pPr>
        <w:pStyle w:val="Heading3"/>
        <w:spacing w:lineRule="auto" w:line="271" w:before="0" w:after="240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1. Introduction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The </w:t>
      </w:r>
      <w:r>
        <w:rPr>
          <w:rFonts w:eastAsia="Google Sans" w:cs="Google Sans" w:ascii="Google Sans" w:hAnsi="Google Sans"/>
          <w:b/>
          <w:bCs/>
        </w:rPr>
        <w:t>OmniRoute</w:t>
      </w:r>
      <w:r>
        <w:rPr>
          <w:rFonts w:eastAsia="Google Sans" w:cs="Google Sans" w:ascii="Google Sans" w:hAnsi="Google Sans"/>
        </w:rPr>
        <w:t xml:space="preserve"> system is an enterprise-grade Data Warehouse (DWH) solution designed to ingest, process, and analyze high-velocity telemetry data from a global fleet of delivery vehicles. The system integrates batch data from AWS S3 (vehicle registries, assignment logs, and maintenance schedules) with real-time IoT streams from Kafka (GPS and sensor data) to monitor driver safety and asset health.</w:t>
      </w:r>
    </w:p>
    <w:p>
      <w:pPr>
        <w:pStyle w:val="Normal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p>
      <w:pPr>
        <w:pStyle w:val="Heading3"/>
        <w:spacing w:lineRule="auto" w:line="271" w:before="0" w:after="240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2. Business Objectives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The system aims to solve the following logistics challenges:</w:t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Asset Lifecycle Management:</w:t>
      </w:r>
      <w:r>
        <w:rPr>
          <w:rFonts w:eastAsia="Google Sans" w:cs="Google Sans" w:ascii="Google Sans" w:hAnsi="Google Sans"/>
        </w:rPr>
        <w:t xml:space="preserve"> Maintain an accurate, historical record of vehicle assignments and driver transitions using SCD Type 2 logic.</w:t>
      </w:r>
      <w:r>
        <w:rPr>
          <w:color w:val="000000"/>
        </w:rPr>
        <w:br/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Operational Efficiency:</w:t>
      </w:r>
      <w:r>
        <w:rPr>
          <w:rFonts w:eastAsia="Google Sans" w:cs="Google Sans" w:ascii="Google Sans" w:hAnsi="Google Sans"/>
        </w:rPr>
        <w:t xml:space="preserve"> Detect vehicles with abnormal fuel consumption patterns compared to fleet baselines.</w:t>
      </w:r>
      <w:r>
        <w:rPr>
          <w:color w:val="000000"/>
        </w:rPr>
        <w:br/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Safety Compliance:</w:t>
      </w:r>
      <w:r>
        <w:rPr>
          <w:rFonts w:eastAsia="Google Sans" w:cs="Google Sans" w:ascii="Google Sans" w:hAnsi="Google Sans"/>
        </w:rPr>
        <w:t xml:space="preserve"> Real-time monitoring of driver behavior (speeding and geofencing) to mitigate risk.</w:t>
      </w:r>
      <w:r>
        <w:rPr>
          <w:color w:val="000000"/>
        </w:rPr>
        <w:br/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Financial Accountability:</w:t>
      </w:r>
      <w:r>
        <w:rPr>
          <w:rFonts w:eastAsia="Google Sans" w:cs="Google Sans" w:ascii="Google Sans" w:hAnsi="Google Sans"/>
        </w:rPr>
        <w:t xml:space="preserve"> Automate driver rate deductions based on safety violations and manage monthly cooldown periods.</w:t>
      </w:r>
      <w:r>
        <w:rPr>
          <w:color w:val="000000"/>
        </w:rPr>
        <w:br/>
      </w:r>
    </w:p>
    <w:p>
      <w:pPr>
        <w:pStyle w:val="Heading3"/>
        <w:spacing w:lineRule="auto" w:line="271" w:before="0" w:after="240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3. System Requirements</w:t>
      </w:r>
    </w:p>
    <w:p>
      <w:pPr>
        <w:pStyle w:val="Heading4"/>
        <w:spacing w:lineRule="auto" w:line="271" w:before="0" w:after="255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3.1 Data Sources &amp; Frequency</w:t>
      </w:r>
    </w:p>
    <w:tbl>
      <w:tblPr>
        <w:tblW w:w="9360" w:type="dxa"/>
        <w:jc w:val="left"/>
        <w:tblInd w:w="-109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Data Asset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Format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Frequency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Description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Vehicle Registry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CSV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Daily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Master list of all fleet vehicles including vin, model, and mfg_year.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Vehicle Assignment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CSV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Daily (Incremental)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History of which driver is assigned to which vehicle, including daily_rate.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Maintenance Logs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CSV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Yearly (Jan 1st)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Scheduled downtime and mandatory service dates for the fleet.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Fuel Transactions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CSV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Daily (05:00 UTC)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Logs of fuel quantity, cost, and odometer readings.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Telemetry Stream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JSON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Real-time (Kafka)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Live sensor data: vin, speed, rpm, and location_coords.</w:t>
            </w:r>
          </w:p>
        </w:tc>
      </w:tr>
      <w:tr>
        <w:trPr/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Restricted Zones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JSON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Static/Ad-hoc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A "marked" list of GPS coordinates defining no-go zones.</w:t>
            </w:r>
          </w:p>
        </w:tc>
      </w:tr>
    </w:tbl>
    <w:p>
      <w:pPr>
        <w:pStyle w:val="Heading4"/>
        <w:spacing w:lineRule="auto" w:line="271" w:before="480" w:after="255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3.2 Advanced Data Processing Logic</w:t>
      </w:r>
    </w:p>
    <w:p>
      <w:pPr>
        <w:pStyle w:val="Normal"/>
        <w:numPr>
          <w:ilvl w:val="0"/>
          <w:numId w:val="2"/>
        </w:numPr>
        <w:spacing w:lineRule="auto" w:line="271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Asset History (SCD Type 2):</w:t>
      </w:r>
    </w:p>
    <w:p>
      <w:pPr>
        <w:pStyle w:val="Normal"/>
        <w:numPr>
          <w:ilvl w:val="1"/>
          <w:numId w:val="3"/>
        </w:numPr>
        <w:spacing w:lineRule="auto" w:line="271"/>
        <w:rPr/>
      </w:pPr>
      <w:r>
        <w:rPr>
          <w:rFonts w:eastAsia="Google Sans" w:cs="Google Sans" w:ascii="Google Sans" w:hAnsi="Google Sans"/>
        </w:rPr>
        <w:t>Create an incremental table tracking vin, start_date, end_date, driver_id, daily_rate, and status.</w:t>
      </w:r>
      <w:r>
        <w:rPr>
          <w:color w:val="000000"/>
        </w:rPr>
        <w:br/>
      </w:r>
    </w:p>
    <w:p>
      <w:pPr>
        <w:pStyle w:val="Normal"/>
        <w:numPr>
          <w:ilvl w:val="1"/>
          <w:numId w:val="3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Conflict Resolution:</w:t>
      </w:r>
      <w:r>
        <w:rPr>
          <w:rFonts w:eastAsia="Google Sans" w:cs="Google Sans" w:ascii="Google Sans" w:hAnsi="Google Sans"/>
        </w:rPr>
        <w:t xml:space="preserve"> If duplicate records exist for the same VIN and timeframe, retain only the record with the </w:t>
      </w:r>
      <w:r>
        <w:rPr>
          <w:rFonts w:eastAsia="Google Sans" w:cs="Google Sans" w:ascii="Google Sans" w:hAnsi="Google Sans"/>
          <w:b/>
          <w:bCs/>
        </w:rPr>
        <w:t>highest daily rate</w:t>
      </w:r>
      <w:r>
        <w:rPr>
          <w:rFonts w:eastAsia="Google Sans" w:cs="Google Sans" w:ascii="Google Sans" w:hAnsi="Google Sans"/>
        </w:rPr>
        <w:t>.</w:t>
      </w:r>
      <w:r>
        <w:rPr>
          <w:color w:val="000000"/>
        </w:rPr>
        <w:br/>
      </w:r>
    </w:p>
    <w:p>
      <w:pPr>
        <w:pStyle w:val="Normal"/>
        <w:numPr>
          <w:ilvl w:val="1"/>
          <w:numId w:val="3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Continuity:</w:t>
      </w:r>
      <w:r>
        <w:rPr>
          <w:rFonts w:eastAsia="Google Sans" w:cs="Google Sans" w:ascii="Google Sans" w:hAnsi="Google Sans"/>
        </w:rPr>
        <w:t xml:space="preserve"> When a new assignment record is ingested, the previous record for that VIN must be closed (end date = new start date) and marked as "ARCHIVED".</w:t>
      </w:r>
      <w:r>
        <w:rPr>
          <w:color w:val="000000"/>
        </w:rPr>
        <w:br/>
      </w:r>
    </w:p>
    <w:p>
      <w:pPr>
        <w:pStyle w:val="Normal"/>
        <w:numPr>
          <w:ilvl w:val="1"/>
          <w:numId w:val="3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Active Status:</w:t>
      </w:r>
      <w:r>
        <w:rPr>
          <w:rFonts w:eastAsia="Google Sans" w:cs="Google Sans" w:ascii="Google Sans" w:hAnsi="Google Sans"/>
        </w:rPr>
        <w:t xml:space="preserve"> Records without an end date are marked as "IN-TRANSIT".</w:t>
      </w:r>
      <w:r>
        <w:rPr>
          <w:color w:val="000000"/>
        </w:rPr>
        <w:br/>
      </w:r>
    </w:p>
    <w:p>
      <w:pPr>
        <w:pStyle w:val="Normal"/>
        <w:numPr>
          <w:ilvl w:val="0"/>
          <w:numId w:val="2"/>
        </w:numPr>
        <w:spacing w:lineRule="auto" w:line="271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Fuel Efficiency Auditing:</w:t>
      </w:r>
    </w:p>
    <w:p>
      <w:pPr>
        <w:pStyle w:val="Normal"/>
        <w:numPr>
          <w:ilvl w:val="1"/>
          <w:numId w:val="4"/>
        </w:numPr>
        <w:spacing w:lineRule="auto" w:line="271"/>
        <w:rPr/>
      </w:pPr>
      <w:r>
        <w:rPr>
          <w:rFonts w:eastAsia="Google Sans" w:cs="Google Sans" w:ascii="Google Sans" w:hAnsi="Google Sans"/>
        </w:rPr>
        <w:t xml:space="preserve">Identify vehicles where "Fuel Consumed vs. Distance" exceeds the baseline by </w:t>
      </w:r>
      <w:r>
        <w:rPr>
          <w:rFonts w:eastAsia="Google Sans" w:cs="Google Sans" w:ascii="Google Sans" w:hAnsi="Google Sans"/>
          <w:b/>
          <w:bCs/>
        </w:rPr>
        <w:t>12%</w:t>
      </w:r>
      <w:r>
        <w:rPr>
          <w:rFonts w:eastAsia="Google Sans" w:cs="Google Sans" w:ascii="Google Sans" w:hAnsi="Google Sans"/>
        </w:rPr>
        <w:t xml:space="preserve"> (excluding weekends and maintenance days).</w:t>
      </w:r>
      <w:r>
        <w:rPr>
          <w:color w:val="000000"/>
        </w:rPr>
        <w:br/>
      </w:r>
    </w:p>
    <w:p>
      <w:pPr>
        <w:pStyle w:val="Normal"/>
        <w:numPr>
          <w:ilvl w:val="1"/>
          <w:numId w:val="4"/>
        </w:numPr>
        <w:spacing w:lineRule="auto" w:line="271"/>
        <w:rPr/>
      </w:pPr>
      <w:r>
        <w:rPr>
          <w:rFonts w:eastAsia="Google Sans" w:cs="Google Sans" w:ascii="Google Sans" w:hAnsi="Google Sans"/>
        </w:rPr>
        <w:t>Generate a daily report by 05:00 UTC showing the count of "IN-TRANSIT" vehicles categorized by model.</w:t>
      </w:r>
      <w:r>
        <w:rPr>
          <w:color w:val="000000"/>
        </w:rPr>
        <w:br/>
      </w:r>
    </w:p>
    <w:p>
      <w:pPr>
        <w:pStyle w:val="Heading4"/>
        <w:spacing w:lineRule="auto" w:line="271" w:before="0" w:after="255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3.3 Safety &amp; Streaming Requirements</w:t>
      </w:r>
    </w:p>
    <w:p>
      <w:pPr>
        <w:pStyle w:val="Normal"/>
        <w:numPr>
          <w:ilvl w:val="0"/>
          <w:numId w:val="5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Violation Detection:</w:t>
      </w:r>
      <w:r>
        <w:rPr>
          <w:rFonts w:eastAsia="Google Sans" w:cs="Google Sans" w:ascii="Google Sans" w:hAnsi="Google Sans"/>
        </w:rPr>
        <w:t xml:space="preserve"> A streaming pipeline must flag events where speed exceeds 110 km/h or coordinates intersect with restricted_zones.json.</w:t>
      </w:r>
      <w:r>
        <w:rPr>
          <w:color w:val="000000"/>
        </w:rPr>
        <w:br/>
      </w:r>
    </w:p>
    <w:p>
      <w:pPr>
        <w:pStyle w:val="Normal"/>
        <w:numPr>
          <w:ilvl w:val="0"/>
          <w:numId w:val="5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Penalty System:</w:t>
      </w:r>
      <w:r>
        <w:rPr>
          <w:rFonts w:eastAsia="Google Sans" w:cs="Google Sans" w:ascii="Google Sans" w:hAnsi="Google Sans"/>
        </w:rPr>
        <w:t xml:space="preserve"> * Each flagged event counts as one "Safety Strike".</w:t>
      </w:r>
      <w:r>
        <w:rPr>
          <w:color w:val="000000"/>
        </w:rPr>
        <w:br/>
      </w:r>
    </w:p>
    <w:p>
      <w:pPr>
        <w:pStyle w:val="Normal"/>
        <w:numPr>
          <w:ilvl w:val="1"/>
          <w:numId w:val="6"/>
        </w:numPr>
        <w:spacing w:lineRule="auto" w:line="271"/>
        <w:rPr/>
      </w:pPr>
      <w:r>
        <w:rPr>
          <w:rFonts w:eastAsia="Google Sans" w:cs="Google Sans" w:ascii="Google Sans" w:hAnsi="Google Sans"/>
        </w:rPr>
        <w:t xml:space="preserve">Deduct </w:t>
      </w:r>
      <w:r>
        <w:rPr>
          <w:rFonts w:eastAsia="Google Sans" w:cs="Google Sans" w:ascii="Google Sans" w:hAnsi="Google Sans"/>
          <w:b/>
          <w:bCs/>
        </w:rPr>
        <w:t>5% from the Driver’s Daily Rate</w:t>
      </w:r>
      <w:r>
        <w:rPr>
          <w:rFonts w:eastAsia="Google Sans" w:cs="Google Sans" w:ascii="Google Sans" w:hAnsi="Google Sans"/>
        </w:rPr>
        <w:t xml:space="preserve"> for each strike, represented as a separate calculated column in the resultant table.</w:t>
      </w:r>
      <w:r>
        <w:rPr>
          <w:color w:val="000000"/>
        </w:rPr>
        <w:br/>
      </w:r>
    </w:p>
    <w:p>
      <w:pPr>
        <w:pStyle w:val="Normal"/>
        <w:numPr>
          <w:ilvl w:val="0"/>
          <w:numId w:val="5"/>
        </w:numPr>
        <w:spacing w:lineRule="auto" w:line="271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Cooldown &amp; Suspension:</w:t>
      </w:r>
    </w:p>
    <w:p>
      <w:pPr>
        <w:pStyle w:val="Normal"/>
        <w:numPr>
          <w:ilvl w:val="1"/>
          <w:numId w:val="7"/>
        </w:numPr>
        <w:spacing w:lineRule="auto" w:line="271"/>
        <w:rPr/>
      </w:pPr>
      <w:r>
        <w:rPr>
          <w:rFonts w:eastAsia="Google Sans" w:cs="Google Sans" w:ascii="Google Sans" w:hAnsi="Google Sans"/>
        </w:rPr>
        <w:t>On the 1st of every month at 05:00 UTC, reset strikes and restore rates for eligible drivers.</w:t>
      </w:r>
      <w:r>
        <w:rPr>
          <w:color w:val="000000"/>
        </w:rPr>
        <w:br/>
      </w:r>
    </w:p>
    <w:p>
      <w:pPr>
        <w:pStyle w:val="Normal"/>
        <w:numPr>
          <w:ilvl w:val="1"/>
          <w:numId w:val="7"/>
        </w:numPr>
        <w:spacing w:lineRule="auto" w:line="271"/>
        <w:rPr/>
      </w:pPr>
      <w:r>
        <w:rPr>
          <w:rFonts w:eastAsia="Google Sans" w:cs="Google Sans" w:ascii="Google Sans" w:hAnsi="Google Sans"/>
        </w:rPr>
        <w:t xml:space="preserve">Drivers who accumulate </w:t>
      </w:r>
      <w:r>
        <w:rPr>
          <w:rFonts w:eastAsia="Google Sans" w:cs="Google Sans" w:ascii="Google Sans" w:hAnsi="Google Sans"/>
          <w:b/>
          <w:bCs/>
        </w:rPr>
        <w:t>10 strikes</w:t>
      </w:r>
      <w:r>
        <w:rPr>
          <w:rFonts w:eastAsia="Google Sans" w:cs="Google Sans" w:ascii="Google Sans" w:hAnsi="Google Sans"/>
        </w:rPr>
        <w:t xml:space="preserve"> are toggled to "SUSPENDED" status and are </w:t>
      </w:r>
      <w:r>
        <w:rPr>
          <w:rFonts w:eastAsia="Google Sans" w:cs="Google Sans" w:ascii="Google Sans" w:hAnsi="Google Sans"/>
          <w:b/>
          <w:bCs/>
        </w:rPr>
        <w:t>excluded</w:t>
      </w:r>
      <w:r>
        <w:rPr>
          <w:rFonts w:eastAsia="Google Sans" w:cs="Google Sans" w:ascii="Google Sans" w:hAnsi="Google Sans"/>
        </w:rPr>
        <w:t xml:space="preserve"> from the monthly cooldown.</w:t>
      </w:r>
      <w:r>
        <w:rPr>
          <w:color w:val="000000"/>
        </w:rPr>
        <w:br/>
      </w:r>
    </w:p>
    <w:p>
      <w:pPr>
        <w:pStyle w:val="Heading3"/>
        <w:spacing w:lineRule="auto" w:line="271" w:before="0" w:after="240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4. Technical Architecture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The solution must be built exclusively on </w:t>
      </w:r>
      <w:r>
        <w:rPr>
          <w:rFonts w:eastAsia="Google Sans" w:cs="Google Sans" w:ascii="Google Sans" w:hAnsi="Google Sans"/>
          <w:b/>
          <w:bCs/>
        </w:rPr>
        <w:t>AWS</w:t>
      </w:r>
      <w:r>
        <w:rPr>
          <w:rFonts w:eastAsia="Google Sans" w:cs="Google Sans" w:ascii="Google Sans" w:hAnsi="Google Sans"/>
        </w:rPr>
        <w:t xml:space="preserve"> following DWH principles for fault tolerance and scalability:</w:t>
      </w:r>
    </w:p>
    <w:p>
      <w:pPr>
        <w:pStyle w:val="Normal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p>
      <w:pPr>
        <w:pStyle w:val="Normal"/>
        <w:numPr>
          <w:ilvl w:val="0"/>
          <w:numId w:val="8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Storage:</w:t>
      </w:r>
      <w:r>
        <w:rPr>
          <w:rFonts w:eastAsia="Google Sans" w:cs="Google Sans" w:ascii="Google Sans" w:hAnsi="Google Sans"/>
        </w:rPr>
        <w:t xml:space="preserve"> S3 (Data Lake) for raw, silver, and gold layers.</w:t>
      </w:r>
      <w:r>
        <w:rPr>
          <w:color w:val="000000"/>
        </w:rPr>
        <w:br/>
      </w:r>
    </w:p>
    <w:p>
      <w:pPr>
        <w:pStyle w:val="Normal"/>
        <w:numPr>
          <w:ilvl w:val="0"/>
          <w:numId w:val="8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Compute:</w:t>
      </w:r>
      <w:r>
        <w:rPr>
          <w:rFonts w:eastAsia="Google Sans" w:cs="Google Sans" w:ascii="Google Sans" w:hAnsi="Google Sans"/>
        </w:rPr>
        <w:t xml:space="preserve"> Spark/Glue for batch ETL; Flink or Spark Streaming for Kafka telemetry.</w:t>
      </w:r>
      <w:r>
        <w:rPr>
          <w:color w:val="000000"/>
        </w:rPr>
        <w:br/>
      </w:r>
    </w:p>
    <w:p>
      <w:pPr>
        <w:pStyle w:val="Normal"/>
        <w:numPr>
          <w:ilvl w:val="0"/>
          <w:numId w:val="8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Database:</w:t>
      </w:r>
      <w:r>
        <w:rPr>
          <w:rFonts w:eastAsia="Google Sans" w:cs="Google Sans" w:ascii="Google Sans" w:hAnsi="Google Sans"/>
        </w:rPr>
        <w:t xml:space="preserve"> If required, an RDBMS (like PostgreSQL) can be hosted on an </w:t>
      </w:r>
      <w:r>
        <w:rPr>
          <w:rFonts w:eastAsia="Google Sans" w:cs="Google Sans" w:ascii="Google Sans" w:hAnsi="Google Sans"/>
          <w:b/>
          <w:bCs/>
        </w:rPr>
        <w:t>EC2 instance</w:t>
      </w:r>
      <w:r>
        <w:rPr>
          <w:rFonts w:eastAsia="Google Sans" w:cs="Google Sans" w:ascii="Google Sans" w:hAnsi="Google Sans"/>
        </w:rPr>
        <w:t xml:space="preserve"> for final reporting.</w:t>
      </w:r>
      <w:r>
        <w:rPr>
          <w:color w:val="000000"/>
        </w:rPr>
        <w:br/>
      </w:r>
    </w:p>
    <w:p>
      <w:pPr>
        <w:pStyle w:val="Normal"/>
        <w:numPr>
          <w:ilvl w:val="0"/>
          <w:numId w:val="8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Orchestration:</w:t>
      </w:r>
      <w:r>
        <w:rPr>
          <w:rFonts w:eastAsia="Google Sans" w:cs="Google Sans" w:ascii="Google Sans" w:hAnsi="Google Sans"/>
        </w:rPr>
        <w:t xml:space="preserve"> Airflow to manage dependencies and daily scheduling at 05:00 UTC.</w:t>
      </w:r>
    </w:p>
    <w:p>
      <w:pPr>
        <w:pStyle w:val="Normal"/>
        <w:spacing w:lineRule="auto" w:line="271"/>
        <w:rPr>
          <w:color w:val="000000"/>
        </w:rPr>
      </w:pPr>
      <w:r>
        <w:rPr>
          <w:color w:val="000000"/>
        </w:rPr>
        <w:br/>
      </w:r>
    </w:p>
    <w:p>
      <w:pPr>
        <w:pStyle w:val="Heading3"/>
        <w:spacing w:lineRule="auto" w:line="271" w:before="0" w:after="240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5. Success Criteria</w:t>
      </w:r>
    </w:p>
    <w:p>
      <w:pPr>
        <w:pStyle w:val="Normal"/>
        <w:numPr>
          <w:ilvl w:val="0"/>
          <w:numId w:val="9"/>
        </w:numPr>
        <w:spacing w:lineRule="auto" w:line="271"/>
        <w:rPr/>
      </w:pPr>
      <w:r>
        <w:rPr>
          <w:rFonts w:eastAsia="Google Sans" w:cs="Google Sans" w:ascii="Google Sans" w:hAnsi="Google Sans"/>
        </w:rPr>
        <w:t>Successful ingestion and deduplication of vehicle assignment logs from S3.</w:t>
      </w:r>
      <w:r>
        <w:rPr>
          <w:color w:val="000000"/>
        </w:rPr>
        <w:br/>
      </w:r>
    </w:p>
    <w:p>
      <w:pPr>
        <w:pStyle w:val="Normal"/>
        <w:numPr>
          <w:ilvl w:val="0"/>
          <w:numId w:val="9"/>
        </w:numPr>
        <w:spacing w:lineRule="auto" w:line="271"/>
        <w:rPr/>
      </w:pPr>
      <w:r>
        <w:rPr>
          <w:rFonts w:eastAsia="Google Sans" w:cs="Google Sans" w:ascii="Google Sans" w:hAnsi="Google Sans"/>
        </w:rPr>
        <w:t>Automated generation of monthly rate-deduction reports in text format for fleet managers.</w:t>
      </w:r>
      <w:r>
        <w:rPr>
          <w:color w:val="000000"/>
        </w:rPr>
        <w:br/>
      </w:r>
    </w:p>
    <w:p>
      <w:pPr>
        <w:pStyle w:val="Normal"/>
        <w:numPr>
          <w:ilvl w:val="0"/>
          <w:numId w:val="9"/>
        </w:numPr>
        <w:spacing w:lineRule="auto" w:line="271"/>
        <w:rPr/>
      </w:pPr>
      <w:r>
        <w:rPr>
          <w:rFonts w:eastAsia="Google Sans" w:cs="Google Sans" w:ascii="Google Sans" w:hAnsi="Google Sans"/>
        </w:rPr>
        <w:t>Zero-duplicate processing in the event of job failure (Idempotency).</w:t>
      </w:r>
      <w:r>
        <w:rPr>
          <w:color w:val="000000"/>
        </w:rPr>
        <w:br/>
      </w:r>
    </w:p>
    <w:p>
      <w:pPr>
        <w:pStyle w:val="Normal"/>
        <w:numPr>
          <w:ilvl w:val="0"/>
          <w:numId w:val="9"/>
        </w:numPr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Functional real-time system tracking active safety strikes across the fleet.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p>
      <w:pPr>
        <w:pStyle w:val="Heading1"/>
        <w:shd w:val="clear" w:fill="FFFFFF"/>
        <w:ind w:hanging="0" w:left="0"/>
        <w:rPr>
          <w:rFonts w:ascii="Segoe UI" w:hAnsi="Segoe UI" w:cs="Segoe UI"/>
          <w:color w:val="222222"/>
          <w:sz w:val="28"/>
          <w:szCs w:val="28"/>
        </w:rPr>
      </w:pPr>
      <w:r>
        <w:rPr>
          <w:rStyle w:val="Strong"/>
          <w:rFonts w:cs="Segoe UI" w:ascii="Segoe UI" w:hAnsi="Segoe UI"/>
          <w:b/>
          <w:bCs/>
          <w:color w:val="222222"/>
          <w:sz w:val="28"/>
          <w:szCs w:val="28"/>
        </w:rPr>
        <w:t>6. Reporting &amp; Analytics Layer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This section extends the OmniRoute Smart Logistics Engine by defining the </w:t>
      </w:r>
      <w:r>
        <w:rPr>
          <w:rStyle w:val="Strong"/>
          <w:rFonts w:cs="Segoe UI" w:ascii="Segoe UI" w:hAnsi="Segoe UI"/>
          <w:color w:val="222222"/>
          <w:sz w:val="21"/>
          <w:szCs w:val="21"/>
        </w:rPr>
        <w:t>reporting, analytics, and consumption layer</w:t>
      </w:r>
      <w:r>
        <w:rPr>
          <w:rFonts w:cs="Segoe UI" w:ascii="Segoe UI" w:hAnsi="Segoe UI"/>
          <w:color w:val="222222"/>
          <w:sz w:val="21"/>
          <w:szCs w:val="21"/>
        </w:rPr>
        <w:t>, ensuring that all processed data can be operationalized for business, compliance, and finance stakeholders.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shd w:val="clear" w:fill="FFFFFF"/>
        <w:ind w:hanging="0" w:left="0"/>
        <w:rPr>
          <w:rFonts w:ascii="Segoe UI" w:hAnsi="Segoe UI" w:cs="Segoe UI"/>
          <w:color w:val="222222"/>
          <w:sz w:val="24"/>
          <w:szCs w:val="24"/>
        </w:rPr>
      </w:pPr>
      <w:r>
        <w:rPr>
          <w:rStyle w:val="Strong"/>
          <w:rFonts w:cs="Segoe UI" w:ascii="Segoe UI" w:hAnsi="Segoe UI"/>
          <w:b/>
          <w:bCs/>
          <w:color w:val="222222"/>
          <w:sz w:val="24"/>
          <w:szCs w:val="24"/>
        </w:rPr>
        <w:t>6.1 Reporting Objectives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The Reporting Layer is designed to: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 xml:space="preserve">● </w:t>
      </w:r>
      <w:r>
        <w:rPr>
          <w:rFonts w:cs="Segoe UI" w:ascii="Segoe UI" w:hAnsi="Segoe UI"/>
          <w:color w:val="222222"/>
          <w:sz w:val="21"/>
          <w:szCs w:val="21"/>
        </w:rPr>
        <w:t>Provide </w:t>
      </w:r>
      <w:r>
        <w:rPr>
          <w:rStyle w:val="Strong"/>
          <w:rFonts w:cs="Segoe UI" w:ascii="Segoe UI" w:hAnsi="Segoe UI"/>
          <w:b w:val="false"/>
          <w:color w:val="222222"/>
          <w:sz w:val="21"/>
          <w:szCs w:val="21"/>
        </w:rPr>
        <w:t>timely, consistent, and auditable views</w:t>
      </w:r>
      <w:r>
        <w:rPr>
          <w:rFonts w:cs="Segoe UI" w:ascii="Segoe UI" w:hAnsi="Segoe UI"/>
          <w:color w:val="222222"/>
          <w:sz w:val="21"/>
          <w:szCs w:val="21"/>
        </w:rPr>
        <w:t> of fleet operations</w:t>
        <w:br/>
        <w:t>● Enable </w:t>
      </w:r>
      <w:r>
        <w:rPr>
          <w:rStyle w:val="Strong"/>
          <w:rFonts w:cs="Segoe UI" w:ascii="Segoe UI" w:hAnsi="Segoe UI"/>
          <w:b w:val="false"/>
          <w:color w:val="222222"/>
          <w:sz w:val="21"/>
          <w:szCs w:val="21"/>
        </w:rPr>
        <w:t>daily and monthly management reporting</w:t>
      </w:r>
      <w:r>
        <w:rPr>
          <w:rFonts w:cs="Segoe UI" w:ascii="Segoe UI" w:hAnsi="Segoe UI"/>
          <w:color w:val="222222"/>
          <w:sz w:val="21"/>
          <w:szCs w:val="21"/>
        </w:rPr>
        <w:t> without querying raw or streaming systems</w:t>
        <w:br/>
        <w:t>● Serve as a </w:t>
      </w:r>
      <w:r>
        <w:rPr>
          <w:rStyle w:val="Strong"/>
          <w:rFonts w:cs="Segoe UI" w:ascii="Segoe UI" w:hAnsi="Segoe UI"/>
          <w:b w:val="false"/>
          <w:color w:val="222222"/>
          <w:sz w:val="21"/>
          <w:szCs w:val="21"/>
        </w:rPr>
        <w:t>single source of truth</w:t>
      </w:r>
      <w:r>
        <w:rPr>
          <w:rFonts w:cs="Segoe UI" w:ascii="Segoe UI" w:hAnsi="Segoe UI"/>
          <w:color w:val="222222"/>
          <w:sz w:val="21"/>
          <w:szCs w:val="21"/>
        </w:rPr>
        <w:t> for finance, operations, and compliance teams</w:t>
        <w:br/>
        <w:t>● Decouple </w:t>
      </w:r>
      <w:r>
        <w:rPr>
          <w:rStyle w:val="Strong"/>
          <w:rFonts w:cs="Segoe UI" w:ascii="Segoe UI" w:hAnsi="Segoe UI"/>
          <w:b w:val="false"/>
          <w:color w:val="222222"/>
          <w:sz w:val="21"/>
          <w:szCs w:val="21"/>
        </w:rPr>
        <w:t>analytical workloads</w:t>
      </w:r>
      <w:r>
        <w:rPr>
          <w:rFonts w:cs="Segoe UI" w:ascii="Segoe UI" w:hAnsi="Segoe UI"/>
          <w:color w:val="222222"/>
          <w:sz w:val="21"/>
          <w:szCs w:val="21"/>
        </w:rPr>
        <w:t> from ETL and streaming pipelines</w:t>
      </w:r>
    </w:p>
    <w:p>
      <w:pPr>
        <w:pStyle w:val="Heading2"/>
        <w:shd w:val="clear" w:fill="FFFFFF"/>
        <w:ind w:hanging="0" w:left="0"/>
        <w:rPr>
          <w:rFonts w:ascii="Segoe UI" w:hAnsi="Segoe UI" w:cs="Segoe UI"/>
          <w:color w:val="222222"/>
          <w:sz w:val="24"/>
          <w:szCs w:val="24"/>
        </w:rPr>
      </w:pPr>
      <w:r>
        <w:rPr>
          <w:rStyle w:val="Strong"/>
          <w:rFonts w:cs="Segoe UI" w:ascii="Segoe UI" w:hAnsi="Segoe UI"/>
          <w:b/>
          <w:bCs/>
          <w:color w:val="222222"/>
          <w:sz w:val="24"/>
          <w:szCs w:val="24"/>
        </w:rPr>
        <w:t>6.2 Reporting Architecture Overview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The Reporting Layer sits on top of the </w:t>
      </w:r>
      <w:r>
        <w:rPr>
          <w:rStyle w:val="Strong"/>
          <w:rFonts w:cs="Segoe UI" w:ascii="Segoe UI" w:hAnsi="Segoe UI"/>
          <w:b w:val="false"/>
          <w:color w:val="222222"/>
          <w:sz w:val="21"/>
          <w:szCs w:val="21"/>
        </w:rPr>
        <w:t>Gold Layer</w:t>
      </w:r>
      <w:r>
        <w:rPr>
          <w:rFonts w:cs="Segoe UI" w:ascii="Segoe UI" w:hAnsi="Segoe UI"/>
          <w:color w:val="222222"/>
          <w:sz w:val="21"/>
          <w:szCs w:val="21"/>
        </w:rPr>
        <w:t> and exposes curated datasets for analytics tools and downstream consumers.</w:t>
      </w:r>
    </w:p>
    <w:p>
      <w:pPr>
        <w:pStyle w:val="Heading3"/>
        <w:shd w:val="clear" w:fill="FFFFFF"/>
        <w:ind w:hanging="0" w:left="0"/>
        <w:rPr>
          <w:rFonts w:ascii="Segoe UI" w:hAnsi="Segoe UI" w:cs="Segoe UI"/>
          <w:color w:val="222222"/>
          <w:sz w:val="27"/>
          <w:szCs w:val="27"/>
        </w:rPr>
      </w:pPr>
      <w:r>
        <w:rPr>
          <w:rStyle w:val="Strong"/>
          <w:rFonts w:cs="Segoe UI" w:ascii="Segoe UI" w:hAnsi="Segoe UI"/>
          <w:b/>
          <w:bCs/>
          <w:color w:val="222222"/>
        </w:rPr>
        <w:t>Architecture Flow</w:t>
      </w:r>
    </w:p>
    <w:p>
      <w:pPr>
        <w:pStyle w:val="HTMLPreformatted"/>
        <w:shd w:val="clear" w:fill="FFFFFF"/>
        <w:rPr>
          <w:color w:val="222222"/>
        </w:rPr>
      </w:pPr>
      <w:r>
        <w:rPr>
          <w:rStyle w:val="HTMLCode"/>
          <w:color w:val="222222"/>
        </w:rPr>
        <w:t>Gold Layer (S3 – Parquet)</w:t>
      </w:r>
    </w:p>
    <w:p>
      <w:pPr>
        <w:pStyle w:val="HTMLPreformatted"/>
        <w:shd w:val="clear" w:fill="FFFFFF"/>
        <w:rPr>
          <w:color w:val="222222"/>
        </w:rPr>
      </w:pPr>
      <w:r>
        <w:rPr>
          <w:rStyle w:val="HTMLCode"/>
          <w:color w:val="222222"/>
        </w:rPr>
        <w:t xml:space="preserve">        │</w:t>
      </w:r>
    </w:p>
    <w:p>
      <w:pPr>
        <w:pStyle w:val="HTMLPreformatted"/>
        <w:shd w:val="clear" w:fill="FFFFFF"/>
        <w:rPr>
          <w:color w:val="222222"/>
        </w:rPr>
      </w:pPr>
      <w:r>
        <w:rPr>
          <w:rStyle w:val="HTMLCode"/>
          <w:color w:val="222222"/>
        </w:rPr>
        <w:t xml:space="preserve">        │ </w:t>
      </w:r>
      <w:r>
        <w:rPr>
          <w:rStyle w:val="HTMLCode"/>
          <w:color w:val="222222"/>
        </w:rPr>
        <w:t>(Scheduled Loads / Incrementals)</w:t>
      </w:r>
    </w:p>
    <w:p>
      <w:pPr>
        <w:pStyle w:val="HTMLPreformatted"/>
        <w:shd w:val="clear" w:fill="FFFFFF"/>
        <w:rPr>
          <w:color w:val="222222"/>
        </w:rPr>
      </w:pPr>
      <w:r>
        <w:rPr>
          <w:rStyle w:val="HTMLCode"/>
          <w:color w:val="222222"/>
        </w:rPr>
        <w:t xml:space="preserve">        ▼</w:t>
      </w:r>
    </w:p>
    <w:p>
      <w:pPr>
        <w:pStyle w:val="HTMLPreformatted"/>
        <w:shd w:val="clear" w:fill="FFFFFF"/>
        <w:rPr>
          <w:color w:val="222222"/>
        </w:rPr>
      </w:pPr>
      <w:r>
        <w:rPr>
          <w:rStyle w:val="HTMLCode"/>
          <w:color w:val="222222"/>
        </w:rPr>
        <w:t>Reporting Database (RDS/PostgreSQL or Redshift)</w:t>
      </w:r>
    </w:p>
    <w:p>
      <w:pPr>
        <w:pStyle w:val="HTMLPreformatted"/>
        <w:shd w:val="clear" w:fill="FFFFFF"/>
        <w:rPr>
          <w:color w:val="222222"/>
        </w:rPr>
      </w:pPr>
      <w:r>
        <w:rPr>
          <w:rStyle w:val="HTMLCode"/>
          <w:color w:val="222222"/>
        </w:rPr>
        <w:t xml:space="preserve">        │</w:t>
      </w:r>
    </w:p>
    <w:p>
      <w:pPr>
        <w:pStyle w:val="HTMLPreformatted"/>
        <w:shd w:val="clear" w:fill="FFFFFF"/>
        <w:rPr>
          <w:color w:val="222222"/>
        </w:rPr>
      </w:pPr>
      <w:r>
        <w:rPr>
          <w:rStyle w:val="HTMLCode"/>
          <w:color w:val="222222"/>
        </w:rPr>
        <w:t xml:space="preserve">        ├── </w:t>
      </w:r>
      <w:r>
        <w:rPr>
          <w:rStyle w:val="HTMLCode"/>
          <w:color w:val="222222"/>
        </w:rPr>
        <w:t>BI Dashboards</w:t>
      </w:r>
    </w:p>
    <w:p>
      <w:pPr>
        <w:pStyle w:val="HTMLPreformatted"/>
        <w:shd w:val="clear" w:fill="FFFFFF"/>
        <w:rPr>
          <w:color w:val="222222"/>
        </w:rPr>
      </w:pPr>
      <w:r>
        <w:rPr>
          <w:rStyle w:val="HTMLCode"/>
          <w:color w:val="222222"/>
        </w:rPr>
        <w:t xml:space="preserve">        ├── </w:t>
      </w:r>
      <w:r>
        <w:rPr>
          <w:rStyle w:val="HTMLCode"/>
          <w:color w:val="222222"/>
        </w:rPr>
        <w:t>Scheduled Reports (CSV / TXT)</w:t>
      </w:r>
    </w:p>
    <w:p>
      <w:pPr>
        <w:pStyle w:val="HTMLPreformatted"/>
        <w:shd w:val="clear" w:fill="FFFFFF"/>
        <w:rPr>
          <w:color w:val="222222"/>
        </w:rPr>
      </w:pPr>
      <w:r>
        <w:rPr>
          <w:rStyle w:val="HTMLCode"/>
          <w:color w:val="222222"/>
        </w:rPr>
        <w:t xml:space="preserve">        └── </w:t>
      </w:r>
      <w:r>
        <w:rPr>
          <w:rStyle w:val="HTMLCode"/>
          <w:color w:val="222222"/>
        </w:rPr>
        <w:t>Ad</w:t>
        <w:noBreakHyphen/>
        <w:t>hoc SQL Access (Read</w:t>
        <w:noBreakHyphen/>
        <w:t>only)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hd w:val="clear" w:fill="FFFFFF"/>
        <w:ind w:hanging="0" w:left="0"/>
        <w:rPr>
          <w:rFonts w:ascii="Segoe UI" w:hAnsi="Segoe UI" w:cs="Segoe UI"/>
          <w:color w:val="222222"/>
          <w:sz w:val="24"/>
          <w:szCs w:val="24"/>
        </w:rPr>
      </w:pPr>
      <w:r>
        <w:rPr>
          <w:rStyle w:val="Strong"/>
          <w:rFonts w:cs="Segoe UI" w:ascii="Segoe UI" w:hAnsi="Segoe UI"/>
          <w:b/>
          <w:bCs/>
          <w:color w:val="222222"/>
          <w:sz w:val="24"/>
          <w:szCs w:val="24"/>
        </w:rPr>
        <w:t>6.3 Reporting Storage &amp; Technology</w:t>
      </w:r>
    </w:p>
    <w:tbl>
      <w:tblPr>
        <w:tblW w:w="9344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7"/>
        <w:gridCol w:w="4840"/>
        <w:gridCol w:w="3077"/>
      </w:tblGrid>
      <w:tr>
        <w:trPr>
          <w:tblHeader w:val="true"/>
        </w:trPr>
        <w:tc>
          <w:tcPr>
            <w:tcW w:w="14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5F5F5" w:val="clear"/>
            <w:vAlign w:val="center"/>
          </w:tcPr>
          <w:p>
            <w:pPr>
              <w:pStyle w:val="Normal"/>
              <w:jc w:val="center"/>
              <w:rPr>
                <w:rFonts w:ascii="Segoe UI" w:hAnsi="Segoe UI" w:cs="Segoe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b/>
                <w:bCs/>
                <w:color w:val="222222"/>
                <w:sz w:val="21"/>
                <w:szCs w:val="21"/>
              </w:rPr>
              <w:t>Component</w:t>
            </w:r>
          </w:p>
        </w:tc>
        <w:tc>
          <w:tcPr>
            <w:tcW w:w="4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5F5F5" w:val="clear"/>
            <w:vAlign w:val="center"/>
          </w:tcPr>
          <w:p>
            <w:pPr>
              <w:pStyle w:val="Normal"/>
              <w:jc w:val="center"/>
              <w:rPr>
                <w:rFonts w:ascii="Segoe UI" w:hAnsi="Segoe UI" w:cs="Segoe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b/>
                <w:bCs/>
                <w:color w:val="222222"/>
                <w:sz w:val="21"/>
                <w:szCs w:val="21"/>
              </w:rPr>
              <w:t>Technology</w:t>
            </w:r>
          </w:p>
        </w:tc>
        <w:tc>
          <w:tcPr>
            <w:tcW w:w="3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5F5F5" w:val="clear"/>
            <w:vAlign w:val="center"/>
          </w:tcPr>
          <w:p>
            <w:pPr>
              <w:pStyle w:val="Normal"/>
              <w:jc w:val="center"/>
              <w:rPr>
                <w:rFonts w:ascii="Segoe UI" w:hAnsi="Segoe UI" w:cs="Segoe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b/>
                <w:bCs/>
                <w:color w:val="222222"/>
                <w:sz w:val="21"/>
                <w:szCs w:val="21"/>
              </w:rPr>
              <w:t>Purpose</w:t>
            </w:r>
          </w:p>
        </w:tc>
      </w:tr>
      <w:tr>
        <w:trPr/>
        <w:tc>
          <w:tcPr>
            <w:tcW w:w="14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Reporting DB</w:t>
            </w:r>
          </w:p>
        </w:tc>
        <w:tc>
          <w:tcPr>
            <w:tcW w:w="4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PostgreSQL on EC2 / Amazon RDS (or Redshift if scale increases)</w:t>
            </w:r>
          </w:p>
        </w:tc>
        <w:tc>
          <w:tcPr>
            <w:tcW w:w="3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Final query</w:t>
              <w:noBreakHyphen/>
              <w:t>optimized reporting layer</w:t>
            </w:r>
          </w:p>
        </w:tc>
      </w:tr>
      <w:tr>
        <w:trPr/>
        <w:tc>
          <w:tcPr>
            <w:tcW w:w="14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Data Transport</w:t>
            </w:r>
          </w:p>
        </w:tc>
        <w:tc>
          <w:tcPr>
            <w:tcW w:w="4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Spark/Glue</w:t>
            </w:r>
          </w:p>
        </w:tc>
        <w:tc>
          <w:tcPr>
            <w:tcW w:w="3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Batch load from Gold S3 tables</w:t>
            </w:r>
          </w:p>
        </w:tc>
      </w:tr>
      <w:tr>
        <w:trPr/>
        <w:tc>
          <w:tcPr>
            <w:tcW w:w="14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Query Access</w:t>
            </w:r>
          </w:p>
        </w:tc>
        <w:tc>
          <w:tcPr>
            <w:tcW w:w="4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SQL</w:t>
            </w:r>
          </w:p>
        </w:tc>
        <w:tc>
          <w:tcPr>
            <w:tcW w:w="3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Standardized reporting access</w:t>
            </w:r>
          </w:p>
        </w:tc>
      </w:tr>
      <w:tr>
        <w:trPr/>
        <w:tc>
          <w:tcPr>
            <w:tcW w:w="142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BI Tools</w:t>
            </w:r>
          </w:p>
        </w:tc>
        <w:tc>
          <w:tcPr>
            <w:tcW w:w="484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QuickSight / Power BI / Tableau (optional)</w:t>
            </w:r>
          </w:p>
        </w:tc>
        <w:tc>
          <w:tcPr>
            <w:tcW w:w="30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Visualization &amp; executive reporting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shd w:val="clear" w:fill="FFFFFF"/>
        <w:ind w:hanging="0" w:left="0"/>
        <w:rPr>
          <w:rFonts w:ascii="Segoe UI" w:hAnsi="Segoe UI" w:cs="Segoe UI"/>
          <w:b/>
          <w:bCs/>
          <w:color w:val="222222"/>
          <w:sz w:val="24"/>
          <w:szCs w:val="24"/>
        </w:rPr>
      </w:pPr>
      <w:r>
        <w:rPr>
          <w:rFonts w:cs="Segoe UI" w:ascii="Segoe UI" w:hAnsi="Segoe UI"/>
          <w:b/>
          <w:bCs/>
          <w:color w:val="222222"/>
          <w:sz w:val="24"/>
          <w:szCs w:val="24"/>
        </w:rPr>
      </w:r>
    </w:p>
    <w:p>
      <w:pPr>
        <w:pStyle w:val="Heading2"/>
        <w:shd w:val="clear" w:fill="FFFFFF"/>
        <w:ind w:hanging="0" w:left="0"/>
        <w:rPr>
          <w:rFonts w:ascii="Segoe UI" w:hAnsi="Segoe UI" w:cs="Segoe UI"/>
          <w:b/>
          <w:bCs/>
          <w:color w:val="222222"/>
          <w:sz w:val="24"/>
          <w:szCs w:val="24"/>
        </w:rPr>
      </w:pPr>
      <w:r>
        <w:rPr>
          <w:rFonts w:cs="Segoe UI" w:ascii="Segoe UI" w:hAnsi="Segoe UI"/>
          <w:b/>
          <w:bCs/>
          <w:color w:val="222222"/>
          <w:sz w:val="24"/>
          <w:szCs w:val="24"/>
        </w:rPr>
      </w:r>
    </w:p>
    <w:p>
      <w:pPr>
        <w:pStyle w:val="Heading2"/>
        <w:shd w:val="clear" w:fill="FFFFFF"/>
        <w:ind w:hanging="0" w:left="0"/>
        <w:rPr>
          <w:rFonts w:ascii="Segoe UI" w:hAnsi="Segoe UI" w:cs="Segoe UI"/>
          <w:b/>
          <w:bCs/>
          <w:color w:val="222222"/>
          <w:sz w:val="24"/>
          <w:szCs w:val="24"/>
        </w:rPr>
      </w:pPr>
      <w:r>
        <w:rPr>
          <w:rFonts w:cs="Segoe UI" w:ascii="Segoe UI" w:hAnsi="Segoe UI"/>
          <w:b/>
          <w:bCs/>
          <w:color w:val="222222"/>
          <w:sz w:val="24"/>
          <w:szCs w:val="24"/>
        </w:rPr>
      </w:r>
    </w:p>
    <w:p>
      <w:pPr>
        <w:pStyle w:val="Heading2"/>
        <w:shd w:val="clear" w:fill="FFFFFF"/>
        <w:ind w:hanging="0" w:left="0"/>
        <w:rPr>
          <w:rFonts w:ascii="Segoe UI" w:hAnsi="Segoe UI" w:cs="Segoe UI"/>
          <w:b/>
          <w:bCs/>
          <w:color w:val="222222"/>
          <w:sz w:val="24"/>
          <w:szCs w:val="24"/>
        </w:rPr>
      </w:pPr>
      <w:r>
        <w:rPr>
          <w:rFonts w:cs="Segoe UI" w:ascii="Segoe UI" w:hAnsi="Segoe UI"/>
          <w:b/>
          <w:bCs/>
          <w:color w:val="222222"/>
          <w:sz w:val="24"/>
          <w:szCs w:val="24"/>
        </w:rPr>
      </w:r>
    </w:p>
    <w:p>
      <w:pPr>
        <w:pStyle w:val="Heading2"/>
        <w:shd w:val="clear" w:fill="FFFFFF"/>
        <w:ind w:hanging="0" w:left="0"/>
        <w:rPr>
          <w:rFonts w:ascii="Segoe UI" w:hAnsi="Segoe UI" w:cs="Segoe UI"/>
          <w:color w:val="222222"/>
          <w:sz w:val="24"/>
          <w:szCs w:val="24"/>
        </w:rPr>
      </w:pPr>
      <w:r>
        <w:rPr>
          <w:rStyle w:val="Strong"/>
          <w:rFonts w:cs="Segoe UI" w:ascii="Segoe UI" w:hAnsi="Segoe UI"/>
          <w:b/>
          <w:bCs/>
          <w:color w:val="222222"/>
          <w:sz w:val="24"/>
          <w:szCs w:val="24"/>
        </w:rPr>
        <w:t>6.4 Reporting Data Models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The following </w:t>
      </w:r>
      <w:r>
        <w:rPr>
          <w:rStyle w:val="Strong"/>
          <w:rFonts w:cs="Segoe UI" w:ascii="Segoe UI" w:hAnsi="Segoe UI"/>
          <w:color w:val="222222"/>
          <w:sz w:val="21"/>
          <w:szCs w:val="21"/>
        </w:rPr>
        <w:t>report</w:t>
        <w:noBreakHyphen/>
        <w:t>ready tables</w:t>
      </w:r>
      <w:r>
        <w:rPr>
          <w:rFonts w:cs="Segoe UI" w:ascii="Segoe UI" w:hAnsi="Segoe UI"/>
          <w:color w:val="222222"/>
          <w:sz w:val="21"/>
          <w:szCs w:val="21"/>
        </w:rPr>
        <w:t> are created in the Reporting Layer.</w:t>
      </w:r>
    </w:p>
    <w:p>
      <w:pPr>
        <w:pStyle w:val="Heading3"/>
        <w:shd w:val="clear" w:fill="FFFFFF"/>
        <w:ind w:hanging="0" w:left="0"/>
        <w:rPr>
          <w:rFonts w:ascii="Segoe UI" w:hAnsi="Segoe UI" w:cs="Segoe UI"/>
          <w:color w:val="222222"/>
          <w:sz w:val="22"/>
          <w:szCs w:val="22"/>
        </w:rPr>
      </w:pPr>
      <w:r>
        <w:rPr>
          <w:rStyle w:val="Strong"/>
          <w:rFonts w:cs="Segoe UI" w:ascii="Segoe UI" w:hAnsi="Segoe UI"/>
          <w:b/>
          <w:bCs/>
          <w:color w:val="222222"/>
          <w:sz w:val="22"/>
          <w:szCs w:val="22"/>
        </w:rPr>
        <w:t>6.4.1 Fleet Assignment History Report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Source:</w:t>
      </w:r>
      <w:r>
        <w:rPr>
          <w:rFonts w:cs="Segoe UI" w:ascii="Segoe UI" w:hAnsi="Segoe UI"/>
          <w:color w:val="222222"/>
          <w:sz w:val="21"/>
          <w:szCs w:val="21"/>
        </w:rPr>
        <w:t> </w:t>
      </w:r>
      <w:r>
        <w:rPr>
          <w:rStyle w:val="HTMLCode"/>
          <w:color w:val="222222"/>
        </w:rPr>
        <w:t>gold.asset_history_scd2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Purpose:</w:t>
      </w:r>
      <w:r>
        <w:rPr>
          <w:rFonts w:cs="Segoe UI" w:ascii="Segoe UI" w:hAnsi="Segoe UI"/>
          <w:color w:val="222222"/>
          <w:sz w:val="21"/>
          <w:szCs w:val="21"/>
        </w:rPr>
        <w:t> Historical traceability of drivers, vehicles, and rate changes.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Key Columns</w:t>
      </w:r>
    </w:p>
    <w:p>
      <w:pPr>
        <w:pStyle w:val="Normal"/>
        <w:widowControl/>
        <w:numPr>
          <w:ilvl w:val="0"/>
          <w:numId w:val="10"/>
        </w:numPr>
        <w:shd w:val="clear" w:fill="FFFFFF"/>
        <w:spacing w:before="28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vin</w:t>
      </w:r>
    </w:p>
    <w:p>
      <w:pPr>
        <w:pStyle w:val="Normal"/>
        <w:widowControl/>
        <w:numPr>
          <w:ilvl w:val="0"/>
          <w:numId w:val="10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driver_id</w:t>
      </w:r>
    </w:p>
    <w:p>
      <w:pPr>
        <w:pStyle w:val="Normal"/>
        <w:widowControl/>
        <w:numPr>
          <w:ilvl w:val="0"/>
          <w:numId w:val="10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start_date</w:t>
      </w:r>
    </w:p>
    <w:p>
      <w:pPr>
        <w:pStyle w:val="Normal"/>
        <w:widowControl/>
        <w:numPr>
          <w:ilvl w:val="0"/>
          <w:numId w:val="10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end_date</w:t>
      </w:r>
    </w:p>
    <w:p>
      <w:pPr>
        <w:pStyle w:val="Normal"/>
        <w:widowControl/>
        <w:numPr>
          <w:ilvl w:val="0"/>
          <w:numId w:val="10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daily_rate</w:t>
      </w:r>
    </w:p>
    <w:p>
      <w:pPr>
        <w:pStyle w:val="Normal"/>
        <w:widowControl/>
        <w:numPr>
          <w:ilvl w:val="0"/>
          <w:numId w:val="10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status</w:t>
      </w:r>
    </w:p>
    <w:p>
      <w:pPr>
        <w:pStyle w:val="Normal"/>
        <w:widowControl/>
        <w:numPr>
          <w:ilvl w:val="0"/>
          <w:numId w:val="10"/>
        </w:numPr>
        <w:shd w:val="clear" w:fill="FFFFFF"/>
        <w:spacing w:before="0" w:after="28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region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Usage</w:t>
      </w:r>
    </w:p>
    <w:p>
      <w:pPr>
        <w:pStyle w:val="Normal"/>
        <w:widowControl/>
        <w:numPr>
          <w:ilvl w:val="0"/>
          <w:numId w:val="11"/>
        </w:numPr>
        <w:shd w:val="clear" w:fill="FFFFFF"/>
        <w:spacing w:before="28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Driver audits</w:t>
      </w:r>
    </w:p>
    <w:p>
      <w:pPr>
        <w:pStyle w:val="Normal"/>
        <w:widowControl/>
        <w:numPr>
          <w:ilvl w:val="0"/>
          <w:numId w:val="11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Legal &amp; compliance investigations</w:t>
      </w:r>
    </w:p>
    <w:p>
      <w:pPr>
        <w:pStyle w:val="Normal"/>
        <w:widowControl/>
        <w:numPr>
          <w:ilvl w:val="0"/>
          <w:numId w:val="11"/>
        </w:numPr>
        <w:shd w:val="clear" w:fill="FFFFFF"/>
        <w:spacing w:before="0" w:after="28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Historical payroll validation</w:t>
      </w:r>
    </w:p>
    <w:p>
      <w:pPr>
        <w:pStyle w:val="Heading3"/>
        <w:shd w:val="clear" w:fill="FFFFFF"/>
        <w:ind w:hanging="0" w:left="0"/>
        <w:rPr>
          <w:rFonts w:ascii="Segoe UI" w:hAnsi="Segoe UI" w:cs="Segoe UI"/>
          <w:color w:val="222222"/>
          <w:sz w:val="20"/>
          <w:szCs w:val="20"/>
        </w:rPr>
      </w:pPr>
      <w:r>
        <w:rPr>
          <w:rStyle w:val="Strong"/>
          <w:rFonts w:cs="Segoe UI" w:ascii="Segoe UI" w:hAnsi="Segoe UI"/>
          <w:b/>
          <w:bCs/>
          <w:color w:val="222222"/>
          <w:sz w:val="20"/>
          <w:szCs w:val="20"/>
        </w:rPr>
        <w:t>6.4.2 Active Fleet Snapshot Report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Source:</w:t>
      </w:r>
      <w:r>
        <w:rPr>
          <w:rFonts w:cs="Segoe UI" w:ascii="Segoe UI" w:hAnsi="Segoe UI"/>
          <w:color w:val="222222"/>
          <w:sz w:val="21"/>
          <w:szCs w:val="21"/>
        </w:rPr>
        <w:t> </w:t>
      </w:r>
      <w:r>
        <w:rPr>
          <w:rStyle w:val="HTMLCode"/>
          <w:color w:val="222222"/>
        </w:rPr>
        <w:t>gold.active_fleet_snapshot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Refresh Frequency:</w:t>
      </w:r>
      <w:r>
        <w:rPr>
          <w:rFonts w:cs="Segoe UI" w:ascii="Segoe UI" w:hAnsi="Segoe UI"/>
          <w:color w:val="222222"/>
          <w:sz w:val="21"/>
          <w:szCs w:val="21"/>
        </w:rPr>
        <w:t> Daily @ 05:00 UTC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Purpose:</w:t>
      </w:r>
      <w:r>
        <w:rPr>
          <w:rFonts w:cs="Segoe UI" w:ascii="Segoe UI" w:hAnsi="Segoe UI"/>
          <w:color w:val="222222"/>
          <w:sz w:val="21"/>
          <w:szCs w:val="21"/>
        </w:rPr>
        <w:t> Executive</w:t>
        <w:noBreakHyphen/>
        <w:t>level fleet utilization monitoring.</w:t>
      </w:r>
    </w:p>
    <w:tbl>
      <w:tblPr>
        <w:tblW w:w="491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2857"/>
      </w:tblGrid>
      <w:tr>
        <w:trPr>
          <w:tblHeader w:val="true"/>
        </w:trPr>
        <w:tc>
          <w:tcPr>
            <w:tcW w:w="206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5F5F5" w:val="clear"/>
            <w:vAlign w:val="center"/>
          </w:tcPr>
          <w:p>
            <w:pPr>
              <w:pStyle w:val="Normal"/>
              <w:jc w:val="center"/>
              <w:rPr>
                <w:rFonts w:ascii="Segoe UI" w:hAnsi="Segoe UI" w:cs="Segoe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b/>
                <w:bCs/>
                <w:color w:val="222222"/>
                <w:sz w:val="21"/>
                <w:szCs w:val="21"/>
              </w:rPr>
              <w:t>Column</w:t>
            </w:r>
          </w:p>
        </w:tc>
        <w:tc>
          <w:tcPr>
            <w:tcW w:w="28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5F5F5" w:val="clear"/>
            <w:vAlign w:val="center"/>
          </w:tcPr>
          <w:p>
            <w:pPr>
              <w:pStyle w:val="Normal"/>
              <w:jc w:val="center"/>
              <w:rPr>
                <w:rFonts w:ascii="Segoe UI" w:hAnsi="Segoe UI" w:cs="Segoe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b/>
                <w:bCs/>
                <w:color w:val="222222"/>
                <w:sz w:val="21"/>
                <w:szCs w:val="21"/>
              </w:rPr>
              <w:t>Description</w:t>
            </w:r>
          </w:p>
        </w:tc>
      </w:tr>
      <w:tr>
        <w:trPr/>
        <w:tc>
          <w:tcPr>
            <w:tcW w:w="206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model</w:t>
            </w:r>
          </w:p>
        </w:tc>
        <w:tc>
          <w:tcPr>
            <w:tcW w:w="28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Vehicle model</w:t>
            </w:r>
          </w:p>
        </w:tc>
      </w:tr>
      <w:tr>
        <w:trPr/>
        <w:tc>
          <w:tcPr>
            <w:tcW w:w="206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no_of_active_vehicles</w:t>
            </w:r>
          </w:p>
        </w:tc>
        <w:tc>
          <w:tcPr>
            <w:tcW w:w="28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Count of IN</w:t>
              <w:noBreakHyphen/>
              <w:t>TRANSIT vehicles</w:t>
            </w:r>
          </w:p>
        </w:tc>
      </w:tr>
      <w:tr>
        <w:trPr/>
        <w:tc>
          <w:tcPr>
            <w:tcW w:w="206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snapshot_time</w:t>
            </w:r>
          </w:p>
        </w:tc>
        <w:tc>
          <w:tcPr>
            <w:tcW w:w="285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Snapshot timestamp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3"/>
        <w:shd w:val="clear" w:fill="FFFFFF"/>
        <w:ind w:hanging="0" w:left="0"/>
        <w:rPr>
          <w:rFonts w:ascii="Segoe UI" w:hAnsi="Segoe UI" w:cs="Segoe UI"/>
          <w:color w:val="222222"/>
          <w:sz w:val="20"/>
          <w:szCs w:val="20"/>
        </w:rPr>
      </w:pPr>
      <w:r>
        <w:rPr>
          <w:rStyle w:val="Strong"/>
          <w:rFonts w:cs="Segoe UI" w:ascii="Segoe UI" w:hAnsi="Segoe UI"/>
          <w:b/>
          <w:bCs/>
          <w:color w:val="222222"/>
          <w:sz w:val="20"/>
          <w:szCs w:val="20"/>
        </w:rPr>
        <w:t>6.4.3 Fuel Efficiency Audit Report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Source:</w:t>
      </w:r>
      <w:r>
        <w:rPr>
          <w:rFonts w:cs="Segoe UI" w:ascii="Segoe UI" w:hAnsi="Segoe UI"/>
          <w:color w:val="222222"/>
          <w:sz w:val="21"/>
          <w:szCs w:val="21"/>
        </w:rPr>
        <w:t> </w:t>
      </w:r>
      <w:r>
        <w:rPr>
          <w:rStyle w:val="HTMLCode"/>
          <w:color w:val="222222"/>
        </w:rPr>
        <w:t>gold.fuel_efficiency_audit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Purpose:</w:t>
      </w:r>
      <w:r>
        <w:rPr>
          <w:rFonts w:cs="Segoe UI" w:ascii="Segoe UI" w:hAnsi="Segoe UI"/>
          <w:color w:val="222222"/>
          <w:sz w:val="21"/>
          <w:szCs w:val="21"/>
        </w:rPr>
        <w:t> Identify abnormal fuel consumption and potential misuse.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Key Fields</w:t>
      </w:r>
    </w:p>
    <w:p>
      <w:pPr>
        <w:pStyle w:val="Normal"/>
        <w:widowControl/>
        <w:numPr>
          <w:ilvl w:val="0"/>
          <w:numId w:val="12"/>
        </w:numPr>
        <w:shd w:val="clear" w:fill="FFFFFF"/>
        <w:spacing w:before="28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vin</w:t>
      </w:r>
    </w:p>
    <w:p>
      <w:pPr>
        <w:pStyle w:val="Normal"/>
        <w:widowControl/>
        <w:numPr>
          <w:ilvl w:val="0"/>
          <w:numId w:val="12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model</w:t>
      </w:r>
    </w:p>
    <w:p>
      <w:pPr>
        <w:pStyle w:val="Normal"/>
        <w:widowControl/>
        <w:numPr>
          <w:ilvl w:val="0"/>
          <w:numId w:val="12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audit_date</w:t>
      </w:r>
    </w:p>
    <w:p>
      <w:pPr>
        <w:pStyle w:val="Normal"/>
        <w:widowControl/>
        <w:numPr>
          <w:ilvl w:val="0"/>
          <w:numId w:val="12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km_per_liter</w:t>
      </w:r>
    </w:p>
    <w:p>
      <w:pPr>
        <w:pStyle w:val="Normal"/>
        <w:widowControl/>
        <w:numPr>
          <w:ilvl w:val="0"/>
          <w:numId w:val="12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baseline_kmpl</w:t>
      </w:r>
    </w:p>
    <w:p>
      <w:pPr>
        <w:pStyle w:val="Normal"/>
        <w:widowControl/>
        <w:numPr>
          <w:ilvl w:val="0"/>
          <w:numId w:val="12"/>
        </w:numPr>
        <w:shd w:val="clear" w:fill="FFFFFF"/>
        <w:spacing w:before="0" w:after="28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status (FLAGGED / OK)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Business Use</w:t>
      </w:r>
    </w:p>
    <w:p>
      <w:pPr>
        <w:pStyle w:val="Normal"/>
        <w:widowControl/>
        <w:numPr>
          <w:ilvl w:val="0"/>
          <w:numId w:val="13"/>
        </w:numPr>
        <w:shd w:val="clear" w:fill="FFFFFF"/>
        <w:spacing w:before="28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Cost control</w:t>
      </w:r>
    </w:p>
    <w:p>
      <w:pPr>
        <w:pStyle w:val="Normal"/>
        <w:widowControl/>
        <w:numPr>
          <w:ilvl w:val="0"/>
          <w:numId w:val="13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Driver performance review</w:t>
      </w:r>
    </w:p>
    <w:p>
      <w:pPr>
        <w:pStyle w:val="Normal"/>
        <w:widowControl/>
        <w:numPr>
          <w:ilvl w:val="0"/>
          <w:numId w:val="13"/>
        </w:numPr>
        <w:shd w:val="clear" w:fill="FFFFFF"/>
        <w:spacing w:before="0" w:after="28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Maintenance planning</w:t>
      </w:r>
    </w:p>
    <w:p>
      <w:pPr>
        <w:pStyle w:val="Heading3"/>
        <w:shd w:val="clear" w:fill="FFFFFF"/>
        <w:ind w:hanging="0" w:left="0"/>
        <w:rPr>
          <w:rFonts w:ascii="Segoe UI" w:hAnsi="Segoe UI" w:cs="Segoe UI"/>
          <w:color w:val="222222"/>
          <w:sz w:val="20"/>
          <w:szCs w:val="20"/>
        </w:rPr>
      </w:pPr>
      <w:r>
        <w:rPr>
          <w:rStyle w:val="Strong"/>
          <w:rFonts w:cs="Segoe UI" w:ascii="Segoe UI" w:hAnsi="Segoe UI"/>
          <w:b/>
          <w:bCs/>
          <w:color w:val="222222"/>
          <w:sz w:val="20"/>
          <w:szCs w:val="20"/>
        </w:rPr>
        <w:t>6.4.4 Driver Safety &amp; Penalty Report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Source:</w:t>
      </w:r>
      <w:r>
        <w:rPr>
          <w:rFonts w:cs="Segoe UI" w:ascii="Segoe UI" w:hAnsi="Segoe UI"/>
          <w:color w:val="222222"/>
          <w:sz w:val="21"/>
          <w:szCs w:val="21"/>
        </w:rPr>
        <w:t> </w:t>
      </w:r>
      <w:r>
        <w:rPr>
          <w:rStyle w:val="HTMLCode"/>
          <w:color w:val="222222"/>
        </w:rPr>
        <w:t>gold.driver_safety_status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Purpose:</w:t>
      </w:r>
      <w:r>
        <w:rPr>
          <w:rFonts w:cs="Segoe UI" w:ascii="Segoe UI" w:hAnsi="Segoe UI"/>
          <w:color w:val="222222"/>
          <w:sz w:val="21"/>
          <w:szCs w:val="21"/>
        </w:rPr>
        <w:t> Near</w:t>
        <w:noBreakHyphen/>
        <w:t>real</w:t>
        <w:noBreakHyphen/>
        <w:t>time and monthly payroll impact analysis.</w:t>
      </w:r>
    </w:p>
    <w:tbl>
      <w:tblPr>
        <w:tblW w:w="4525" w:type="dxa"/>
        <w:jc w:val="left"/>
        <w:tblInd w:w="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2"/>
        <w:gridCol w:w="2483"/>
      </w:tblGrid>
      <w:tr>
        <w:trPr>
          <w:tblHeader w:val="true"/>
        </w:trPr>
        <w:tc>
          <w:tcPr>
            <w:tcW w:w="2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5F5F5" w:val="clear"/>
            <w:vAlign w:val="center"/>
          </w:tcPr>
          <w:p>
            <w:pPr>
              <w:pStyle w:val="Normal"/>
              <w:jc w:val="center"/>
              <w:rPr>
                <w:rFonts w:ascii="Segoe UI" w:hAnsi="Segoe UI" w:cs="Segoe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b/>
                <w:bCs/>
                <w:color w:val="222222"/>
                <w:sz w:val="21"/>
                <w:szCs w:val="21"/>
              </w:rPr>
              <w:t>Field</w:t>
            </w:r>
          </w:p>
        </w:tc>
        <w:tc>
          <w:tcPr>
            <w:tcW w:w="2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5F5F5" w:val="clear"/>
            <w:vAlign w:val="center"/>
          </w:tcPr>
          <w:p>
            <w:pPr>
              <w:pStyle w:val="Normal"/>
              <w:jc w:val="center"/>
              <w:rPr>
                <w:rFonts w:ascii="Segoe UI" w:hAnsi="Segoe UI" w:cs="Segoe UI"/>
                <w:b/>
                <w:bCs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b/>
                <w:bCs/>
                <w:color w:val="222222"/>
                <w:sz w:val="21"/>
                <w:szCs w:val="21"/>
              </w:rPr>
              <w:t>Description</w:t>
            </w:r>
          </w:p>
        </w:tc>
      </w:tr>
      <w:tr>
        <w:trPr/>
        <w:tc>
          <w:tcPr>
            <w:tcW w:w="2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driver_id</w:t>
            </w:r>
          </w:p>
        </w:tc>
        <w:tc>
          <w:tcPr>
            <w:tcW w:w="2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Unique driver identifier</w:t>
            </w:r>
          </w:p>
        </w:tc>
      </w:tr>
      <w:tr>
        <w:trPr/>
        <w:tc>
          <w:tcPr>
            <w:tcW w:w="2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base_rate</w:t>
            </w:r>
          </w:p>
        </w:tc>
        <w:tc>
          <w:tcPr>
            <w:tcW w:w="2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Original daily rate</w:t>
            </w:r>
          </w:p>
        </w:tc>
      </w:tr>
      <w:tr>
        <w:trPr/>
        <w:tc>
          <w:tcPr>
            <w:tcW w:w="2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strike_count</w:t>
            </w:r>
          </w:p>
        </w:tc>
        <w:tc>
          <w:tcPr>
            <w:tcW w:w="2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Active month strike count</w:t>
            </w:r>
          </w:p>
        </w:tc>
      </w:tr>
      <w:tr>
        <w:trPr/>
        <w:tc>
          <w:tcPr>
            <w:tcW w:w="2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current_adjusted_rate</w:t>
            </w:r>
          </w:p>
        </w:tc>
        <w:tc>
          <w:tcPr>
            <w:tcW w:w="2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Penalized daily rate</w:t>
            </w:r>
          </w:p>
        </w:tc>
      </w:tr>
      <w:tr>
        <w:trPr/>
        <w:tc>
          <w:tcPr>
            <w:tcW w:w="2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status</w:t>
            </w:r>
          </w:p>
        </w:tc>
        <w:tc>
          <w:tcPr>
            <w:tcW w:w="2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ACTIVE / SUSPENDED</w:t>
            </w:r>
          </w:p>
        </w:tc>
      </w:tr>
      <w:tr>
        <w:trPr/>
        <w:tc>
          <w:tcPr>
            <w:tcW w:w="204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month</w:t>
            </w:r>
          </w:p>
        </w:tc>
        <w:tc>
          <w:tcPr>
            <w:tcW w:w="248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fill="FFFFFF" w:val="clear"/>
            <w:vAlign w:val="center"/>
          </w:tcPr>
          <w:p>
            <w:pPr>
              <w:pStyle w:val="Normal"/>
              <w:rPr>
                <w:rFonts w:ascii="Segoe UI" w:hAnsi="Segoe UI" w:cs="Segoe UI"/>
                <w:color w:val="222222"/>
                <w:sz w:val="21"/>
                <w:szCs w:val="21"/>
              </w:rPr>
            </w:pPr>
            <w:r>
              <w:rPr>
                <w:rFonts w:cs="Segoe UI" w:ascii="Segoe UI" w:hAnsi="Segoe UI"/>
                <w:color w:val="222222"/>
                <w:sz w:val="21"/>
                <w:szCs w:val="21"/>
              </w:rPr>
              <w:t>Reporting month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shd w:val="clear" w:fill="FFFFFF"/>
        <w:ind w:hanging="0" w:left="0"/>
        <w:rPr>
          <w:rFonts w:ascii="Segoe UI" w:hAnsi="Segoe UI" w:cs="Segoe UI"/>
          <w:color w:val="222222"/>
          <w:sz w:val="28"/>
          <w:szCs w:val="28"/>
        </w:rPr>
      </w:pPr>
      <w:r>
        <w:rPr>
          <w:rStyle w:val="Strong"/>
          <w:rFonts w:cs="Segoe UI" w:ascii="Segoe UI" w:hAnsi="Segoe UI"/>
          <w:b/>
          <w:bCs/>
          <w:color w:val="222222"/>
          <w:sz w:val="28"/>
          <w:szCs w:val="28"/>
        </w:rPr>
        <w:t>6.5 Scheduled &amp; Regulatory Reports</w:t>
      </w:r>
    </w:p>
    <w:p>
      <w:pPr>
        <w:pStyle w:val="Heading3"/>
        <w:shd w:val="clear" w:fill="FFFFFF"/>
        <w:ind w:hanging="0" w:left="0"/>
        <w:rPr>
          <w:rFonts w:ascii="Segoe UI" w:hAnsi="Segoe UI" w:cs="Segoe UI"/>
          <w:color w:val="222222"/>
          <w:sz w:val="20"/>
          <w:szCs w:val="20"/>
        </w:rPr>
      </w:pPr>
      <w:r>
        <w:rPr>
          <w:rStyle w:val="Strong"/>
          <w:rFonts w:cs="Segoe UI" w:ascii="Segoe UI" w:hAnsi="Segoe UI"/>
          <w:b/>
          <w:bCs/>
          <w:color w:val="222222"/>
          <w:sz w:val="20"/>
          <w:szCs w:val="20"/>
        </w:rPr>
        <w:t>6.5.1 Monthly Driver Rate Deduction Report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Report Includes</w:t>
      </w:r>
    </w:p>
    <w:p>
      <w:pPr>
        <w:pStyle w:val="Normal"/>
        <w:widowControl/>
        <w:numPr>
          <w:ilvl w:val="0"/>
          <w:numId w:val="14"/>
        </w:numPr>
        <w:shd w:val="clear" w:fill="FFFFFF"/>
        <w:spacing w:before="28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Driver ID</w:t>
      </w:r>
    </w:p>
    <w:p>
      <w:pPr>
        <w:pStyle w:val="Normal"/>
        <w:widowControl/>
        <w:numPr>
          <w:ilvl w:val="0"/>
          <w:numId w:val="14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Total strikes for the month</w:t>
      </w:r>
    </w:p>
    <w:p>
      <w:pPr>
        <w:pStyle w:val="Normal"/>
        <w:widowControl/>
        <w:numPr>
          <w:ilvl w:val="0"/>
          <w:numId w:val="14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Total rate deductions</w:t>
      </w:r>
    </w:p>
    <w:p>
      <w:pPr>
        <w:pStyle w:val="Normal"/>
        <w:widowControl/>
        <w:numPr>
          <w:ilvl w:val="0"/>
          <w:numId w:val="14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Final payable daily rate</w:t>
      </w:r>
    </w:p>
    <w:p>
      <w:pPr>
        <w:pStyle w:val="Normal"/>
        <w:widowControl/>
        <w:numPr>
          <w:ilvl w:val="0"/>
          <w:numId w:val="14"/>
        </w:numPr>
        <w:shd w:val="clear" w:fill="FFFFFF"/>
        <w:spacing w:before="0" w:after="28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Suspension status (if applicable)</w:t>
      </w:r>
    </w:p>
    <w:p>
      <w:pPr>
        <w:pStyle w:val="Heading3"/>
        <w:shd w:val="clear" w:fill="FFFFFF"/>
        <w:ind w:hanging="0" w:left="0"/>
        <w:rPr>
          <w:rFonts w:ascii="Segoe UI" w:hAnsi="Segoe UI" w:cs="Segoe UI"/>
          <w:b/>
          <w:bCs/>
          <w:color w:val="222222"/>
          <w:sz w:val="20"/>
          <w:szCs w:val="20"/>
        </w:rPr>
      </w:pPr>
      <w:r>
        <w:rPr>
          <w:rStyle w:val="Strong"/>
          <w:rFonts w:cs="Segoe UI" w:ascii="Segoe UI" w:hAnsi="Segoe UI"/>
          <w:b/>
          <w:bCs/>
          <w:color w:val="222222"/>
          <w:sz w:val="20"/>
          <w:szCs w:val="20"/>
        </w:rPr>
        <w:t>6.5.2 Safety Compliance Summary</w:t>
      </w:r>
    </w:p>
    <w:p>
      <w:pPr>
        <w:pStyle w:val="Heading3"/>
        <w:shd w:val="clear" w:fill="FFFFFF"/>
        <w:ind w:hanging="0" w:left="0"/>
        <w:rPr>
          <w:rFonts w:ascii="Segoe UI" w:hAnsi="Segoe UI" w:cs="Segoe UI"/>
          <w:b w:val="false"/>
          <w:color w:val="222222"/>
        </w:rPr>
      </w:pPr>
      <w:r>
        <w:rPr>
          <w:rStyle w:val="Strong"/>
          <w:rFonts w:cs="Segoe UI" w:ascii="Segoe UI" w:hAnsi="Segoe UI"/>
          <w:b w:val="false"/>
          <w:bCs w:val="false"/>
          <w:color w:val="222222"/>
          <w:sz w:val="21"/>
          <w:szCs w:val="21"/>
        </w:rPr>
        <w:t>Purpose:</w:t>
      </w:r>
      <w:r>
        <w:rPr>
          <w:rFonts w:cs="Segoe UI" w:ascii="Segoe UI" w:hAnsi="Segoe UI"/>
          <w:color w:val="222222"/>
          <w:sz w:val="21"/>
          <w:szCs w:val="21"/>
        </w:rPr>
        <w:t> </w:t>
      </w:r>
      <w:r>
        <w:rPr>
          <w:rFonts w:cs="Segoe UI" w:ascii="Segoe UI" w:hAnsi="Segoe UI"/>
          <w:b w:val="false"/>
          <w:color w:val="222222"/>
          <w:sz w:val="21"/>
          <w:szCs w:val="21"/>
        </w:rPr>
        <w:t>Monitor safety trends and high-risk behavior.</w:t>
      </w:r>
    </w:p>
    <w:p>
      <w:pPr>
        <w:pStyle w:val="NormalWeb"/>
        <w:shd w:val="clear" w:fill="FFFFFF"/>
        <w:spacing w:before="280" w:after="280"/>
        <w:rPr>
          <w:rFonts w:ascii="Segoe UI" w:hAnsi="Segoe UI" w:cs="Segoe UI"/>
          <w:color w:val="222222"/>
          <w:sz w:val="21"/>
          <w:szCs w:val="21"/>
        </w:rPr>
      </w:pPr>
      <w:r>
        <w:rPr>
          <w:rStyle w:val="Strong"/>
          <w:rFonts w:cs="Segoe UI" w:ascii="Segoe UI" w:hAnsi="Segoe UI"/>
          <w:color w:val="222222"/>
          <w:sz w:val="21"/>
          <w:szCs w:val="21"/>
        </w:rPr>
        <w:t>Metrics</w:t>
      </w:r>
    </w:p>
    <w:p>
      <w:pPr>
        <w:pStyle w:val="Normal"/>
        <w:widowControl/>
        <w:numPr>
          <w:ilvl w:val="0"/>
          <w:numId w:val="15"/>
        </w:numPr>
        <w:shd w:val="clear" w:fill="FFFFFF"/>
        <w:spacing w:before="28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Total violations by day</w:t>
      </w:r>
    </w:p>
    <w:p>
      <w:pPr>
        <w:pStyle w:val="Normal"/>
        <w:widowControl/>
        <w:numPr>
          <w:ilvl w:val="0"/>
          <w:numId w:val="15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Top 10 drivers by strike count</w:t>
      </w:r>
    </w:p>
    <w:p>
      <w:pPr>
        <w:pStyle w:val="Normal"/>
        <w:widowControl/>
        <w:numPr>
          <w:ilvl w:val="0"/>
          <w:numId w:val="15"/>
        </w:numPr>
        <w:shd w:val="clear" w:fill="FFFFFF"/>
        <w:spacing w:before="0" w:after="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Restricted zone breaches</w:t>
      </w:r>
    </w:p>
    <w:p>
      <w:pPr>
        <w:pStyle w:val="Normal"/>
        <w:widowControl/>
        <w:numPr>
          <w:ilvl w:val="0"/>
          <w:numId w:val="15"/>
        </w:numPr>
        <w:shd w:val="clear" w:fill="FFFFFF"/>
        <w:spacing w:before="0" w:after="280"/>
        <w:ind w:hanging="360" w:left="945"/>
        <w:rPr>
          <w:rFonts w:ascii="Segoe UI" w:hAnsi="Segoe UI" w:cs="Segoe UI"/>
          <w:color w:val="222222"/>
          <w:sz w:val="21"/>
          <w:szCs w:val="21"/>
        </w:rPr>
      </w:pPr>
      <w:r>
        <w:rPr>
          <w:rFonts w:cs="Segoe UI" w:ascii="Segoe UI" w:hAnsi="Segoe UI"/>
          <w:color w:val="222222"/>
          <w:sz w:val="21"/>
          <w:szCs w:val="21"/>
        </w:rPr>
        <w:t>Speed violation counts</w:t>
      </w:r>
    </w:p>
    <w:p>
      <w:pPr>
        <w:pStyle w:val="Normal"/>
        <w:spacing w:lineRule="auto" w:line="271"/>
        <w:rPr>
          <w:color w:val="000000"/>
        </w:rPr>
      </w:pPr>
      <w:r>
        <w:rPr>
          <w:color w:val="000000"/>
        </w:rPr>
        <w:br/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To provide a clear baseline, here is the detailed breakdown of each data asset for the </w:t>
      </w:r>
      <w:r>
        <w:rPr>
          <w:rFonts w:eastAsia="Google Sans" w:cs="Google Sans" w:ascii="Google Sans" w:hAnsi="Google Sans"/>
          <w:b/>
          <w:bCs/>
        </w:rPr>
        <w:t>OmniRoute</w:t>
      </w:r>
      <w:r>
        <w:rPr>
          <w:rFonts w:eastAsia="Google Sans" w:cs="Google Sans" w:ascii="Google Sans" w:hAnsi="Google Sans"/>
        </w:rPr>
        <w:t xml:space="preserve"> system, including expected schemas and sample records.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p>
      <w:pPr>
        <w:pStyle w:val="Heading3"/>
        <w:spacing w:lineRule="auto" w:line="271" w:before="0" w:after="240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 xml:space="preserve">3.1 Data Assets: Detailed Schema &amp; Samples </w:t>
      </w:r>
      <w:r>
        <w:rPr>
          <w:rFonts w:eastAsia="Google Sans" w:cs="Google Sans" w:ascii="Google Sans" w:hAnsi="Google Sans"/>
          <w:i/>
          <w:sz w:val="20"/>
          <w:szCs w:val="20"/>
        </w:rPr>
        <w:t>(this is detailed explanation</w:t>
      </w:r>
      <w:bookmarkStart w:id="0" w:name="_GoBack"/>
      <w:bookmarkEnd w:id="0"/>
      <w:r>
        <w:rPr>
          <w:rFonts w:eastAsia="Google Sans" w:cs="Google Sans" w:ascii="Google Sans" w:hAnsi="Google Sans"/>
          <w:i/>
          <w:sz w:val="20"/>
          <w:szCs w:val="20"/>
        </w:rPr>
        <w:t xml:space="preserve"> for point no 3 mentioned above)</w:t>
      </w:r>
    </w:p>
    <w:p>
      <w:pPr>
        <w:pStyle w:val="Heading4"/>
        <w:spacing w:lineRule="auto" w:line="271" w:before="0" w:after="255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1. Vehicle Registry (vehicle_registry.csv)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This serves as the master dimension table. It is delivered as a full snapshot once daily.</w:t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Schema:</w:t>
      </w:r>
      <w:r>
        <w:rPr>
          <w:rFonts w:eastAsia="Google Sans" w:cs="Google Sans" w:ascii="Google Sans" w:hAnsi="Google Sans"/>
        </w:rPr>
        <w:t xml:space="preserve"> vin (String), model (String), mfg_year (Integer), fuel_type (String).</w:t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Frequency:</w:t>
      </w:r>
      <w:r>
        <w:rPr>
          <w:rFonts w:eastAsia="Google Sans" w:cs="Google Sans" w:ascii="Google Sans" w:hAnsi="Google Sans"/>
        </w:rPr>
        <w:t xml:space="preserve"> Daily at 00:00 UTC.</w:t>
      </w:r>
    </w:p>
    <w:p>
      <w:pPr>
        <w:pStyle w:val="Normal"/>
        <w:numPr>
          <w:ilvl w:val="0"/>
          <w:numId w:val="1"/>
        </w:numPr>
        <w:spacing w:lineRule="auto" w:line="271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Sample:</w:t>
      </w:r>
    </w:p>
    <w:tbl>
      <w:tblPr>
        <w:tblW w:w="8760" w:type="dxa"/>
        <w:jc w:val="left"/>
        <w:tblInd w:w="599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2190"/>
        <w:gridCol w:w="2190"/>
        <w:gridCol w:w="2190"/>
        <w:gridCol w:w="2189"/>
      </w:tblGrid>
      <w:tr>
        <w:trPr/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Vin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Model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mfg_year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fuel_type</w:t>
            </w:r>
          </w:p>
        </w:tc>
      </w:tr>
      <w:tr>
        <w:trPr/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1HGBH225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Freightliner M2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2022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Diesel</w:t>
            </w:r>
          </w:p>
        </w:tc>
      </w:tr>
      <w:tr>
        <w:trPr/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3FA6P0HD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Volvo VNL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2023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LNG</w:t>
            </w:r>
          </w:p>
        </w:tc>
      </w:tr>
    </w:tbl>
    <w:p>
      <w:pPr>
        <w:pStyle w:val="Heading4"/>
        <w:spacing w:lineRule="auto" w:line="271" w:before="0" w:after="255"/>
        <w:ind w:hanging="0" w:left="0"/>
        <w:rPr/>
      </w:pPr>
      <w:r>
        <w:rPr/>
      </w:r>
    </w:p>
    <w:p>
      <w:pPr>
        <w:pStyle w:val="Heading4"/>
        <w:spacing w:lineRule="auto" w:line="271" w:before="0" w:after="255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2. Vehicle Assignment (vehicle_assignment.csv)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This file tracks driver transitions and pay rates. It includes daily incremental updates.</w:t>
      </w:r>
    </w:p>
    <w:p>
      <w:pPr>
        <w:pStyle w:val="Normal"/>
        <w:numPr>
          <w:ilvl w:val="0"/>
          <w:numId w:val="2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Schema:</w:t>
      </w:r>
      <w:r>
        <w:rPr>
          <w:rFonts w:eastAsia="Google Sans" w:cs="Google Sans" w:ascii="Google Sans" w:hAnsi="Google Sans"/>
        </w:rPr>
        <w:t xml:space="preserve"> vin (String), driver_id (String), start_timestamp (Unix Timestamp), end_timestamp (Unix Timestamp/Null), daily_rate (Float), region (String).</w:t>
      </w:r>
    </w:p>
    <w:p>
      <w:pPr>
        <w:pStyle w:val="Normal"/>
        <w:numPr>
          <w:ilvl w:val="0"/>
          <w:numId w:val="2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Frequency:</w:t>
      </w:r>
      <w:r>
        <w:rPr>
          <w:rFonts w:eastAsia="Google Sans" w:cs="Google Sans" w:ascii="Google Sans" w:hAnsi="Google Sans"/>
        </w:rPr>
        <w:t xml:space="preserve"> Daily at 00:00 UTC.</w:t>
      </w:r>
    </w:p>
    <w:p>
      <w:pPr>
        <w:pStyle w:val="Normal"/>
        <w:numPr>
          <w:ilvl w:val="0"/>
          <w:numId w:val="2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Data Handling:</w:t>
      </w:r>
      <w:r>
        <w:rPr>
          <w:rFonts w:eastAsia="Google Sans" w:cs="Google Sans" w:ascii="Google Sans" w:hAnsi="Google Sans"/>
        </w:rPr>
        <w:t xml:space="preserve"> Convert Unix timestamps to date format and ensure record continuity.</w:t>
      </w:r>
    </w:p>
    <w:p>
      <w:pPr>
        <w:pStyle w:val="Normal"/>
        <w:numPr>
          <w:ilvl w:val="0"/>
          <w:numId w:val="2"/>
        </w:numPr>
        <w:spacing w:lineRule="auto" w:line="271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Sample:</w:t>
      </w:r>
    </w:p>
    <w:tbl>
      <w:tblPr>
        <w:tblW w:w="8760" w:type="dxa"/>
        <w:jc w:val="left"/>
        <w:tblInd w:w="599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752"/>
        <w:gridCol w:w="1752"/>
        <w:gridCol w:w="1752"/>
        <w:gridCol w:w="1752"/>
        <w:gridCol w:w="1752"/>
      </w:tblGrid>
      <w:tr>
        <w:trPr/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Vin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driver_id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start_timestamp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end_timestamp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daily_rate</w:t>
            </w:r>
          </w:p>
        </w:tc>
      </w:tr>
      <w:tr>
        <w:trPr/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1HGBH225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DRV_902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1712818800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1713078000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450.00</w:t>
            </w:r>
          </w:p>
        </w:tc>
      </w:tr>
      <w:tr>
        <w:trPr/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1HGBH225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DRV_902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1713078000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6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485.00</w:t>
            </w:r>
          </w:p>
        </w:tc>
      </w:tr>
    </w:tbl>
    <w:p>
      <w:pPr>
        <w:pStyle w:val="Heading4"/>
        <w:spacing w:lineRule="auto" w:line="271" w:before="0" w:after="255"/>
        <w:ind w:hanging="0" w:left="0"/>
        <w:rPr/>
      </w:pPr>
      <w:r>
        <w:rPr/>
      </w:r>
    </w:p>
    <w:p>
      <w:pPr>
        <w:pStyle w:val="Heading4"/>
        <w:spacing w:lineRule="auto" w:line="271" w:before="0" w:after="255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3. Maintenance Logs (maintenance_schedules.csv)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Represents the mandatory downtime for vehicles. These are "over and above" standard working days.</w:t>
      </w:r>
    </w:p>
    <w:p>
      <w:pPr>
        <w:pStyle w:val="Normal"/>
        <w:numPr>
          <w:ilvl w:val="0"/>
          <w:numId w:val="3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Schema:</w:t>
      </w:r>
      <w:r>
        <w:rPr>
          <w:rFonts w:eastAsia="Google Sans" w:cs="Google Sans" w:ascii="Google Sans" w:hAnsi="Google Sans"/>
        </w:rPr>
        <w:t xml:space="preserve"> vin (String), service_date (Date), service_type (String).</w:t>
      </w:r>
    </w:p>
    <w:p>
      <w:pPr>
        <w:pStyle w:val="Normal"/>
        <w:numPr>
          <w:ilvl w:val="0"/>
          <w:numId w:val="3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Frequency:</w:t>
      </w:r>
      <w:r>
        <w:rPr>
          <w:rFonts w:eastAsia="Google Sans" w:cs="Google Sans" w:ascii="Google Sans" w:hAnsi="Google Sans"/>
        </w:rPr>
        <w:t xml:space="preserve"> Yearly on Jan 1st.</w:t>
      </w:r>
    </w:p>
    <w:p>
      <w:pPr>
        <w:pStyle w:val="Normal"/>
        <w:numPr>
          <w:ilvl w:val="0"/>
          <w:numId w:val="3"/>
        </w:numPr>
        <w:spacing w:lineRule="auto" w:line="271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Sample:</w:t>
      </w:r>
    </w:p>
    <w:tbl>
      <w:tblPr>
        <w:tblW w:w="8760" w:type="dxa"/>
        <w:jc w:val="left"/>
        <w:tblInd w:w="599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2920"/>
        <w:gridCol w:w="2920"/>
        <w:gridCol w:w="2920"/>
      </w:tblGrid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Vin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service_date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service_type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1HGBH225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2026-06-15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Engine Overhaul</w:t>
            </w:r>
          </w:p>
        </w:tc>
      </w:tr>
      <w:tr>
        <w:trPr/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3FA6P0HD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2026-08-20</w:t>
            </w:r>
          </w:p>
        </w:tc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Tire Rotation</w:t>
            </w:r>
          </w:p>
        </w:tc>
      </w:tr>
    </w:tbl>
    <w:p>
      <w:pPr>
        <w:pStyle w:val="Heading4"/>
        <w:spacing w:lineRule="auto" w:line="271" w:before="0" w:after="255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4. Fuel Transactions (fuel_transactions.csv)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Logs the actual fuel usage used to calculate the 12% efficiency threshold.</w:t>
      </w:r>
    </w:p>
    <w:p>
      <w:pPr>
        <w:pStyle w:val="Normal"/>
        <w:numPr>
          <w:ilvl w:val="0"/>
          <w:numId w:val="4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Schema:</w:t>
      </w:r>
      <w:r>
        <w:rPr>
          <w:rFonts w:eastAsia="Google Sans" w:cs="Google Sans" w:ascii="Google Sans" w:hAnsi="Google Sans"/>
        </w:rPr>
        <w:t xml:space="preserve"> transaction_id (String), vin (String), fuel_liters (Float), odometer_reading (Float), timestamp (UTC).</w:t>
      </w:r>
    </w:p>
    <w:p>
      <w:pPr>
        <w:pStyle w:val="Normal"/>
        <w:numPr>
          <w:ilvl w:val="0"/>
          <w:numId w:val="4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Frequency:</w:t>
      </w:r>
      <w:r>
        <w:rPr>
          <w:rFonts w:eastAsia="Google Sans" w:cs="Google Sans" w:ascii="Google Sans" w:hAnsi="Google Sans"/>
        </w:rPr>
        <w:t xml:space="preserve"> Daily at 07:00 UTC.</w:t>
      </w:r>
    </w:p>
    <w:p>
      <w:pPr>
        <w:pStyle w:val="Normal"/>
        <w:numPr>
          <w:ilvl w:val="0"/>
          <w:numId w:val="4"/>
        </w:numPr>
        <w:spacing w:lineRule="auto" w:line="271"/>
        <w:rPr>
          <w:rFonts w:ascii="Google Sans" w:hAnsi="Google Sans" w:eastAsia="Google Sans" w:cs="Google Sans"/>
          <w:b/>
          <w:bCs/>
        </w:rPr>
      </w:pPr>
      <w:r>
        <w:rPr>
          <w:rFonts w:eastAsia="Google Sans" w:cs="Google Sans" w:ascii="Google Sans" w:hAnsi="Google Sans"/>
          <w:b/>
          <w:bCs/>
        </w:rPr>
        <w:t>Sample:</w:t>
      </w:r>
    </w:p>
    <w:tbl>
      <w:tblPr>
        <w:tblW w:w="8760" w:type="dxa"/>
        <w:jc w:val="left"/>
        <w:tblInd w:w="599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752"/>
        <w:gridCol w:w="1752"/>
        <w:gridCol w:w="1752"/>
        <w:gridCol w:w="1752"/>
        <w:gridCol w:w="1752"/>
      </w:tblGrid>
      <w:tr>
        <w:trPr/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transaction_id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vin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fuel_liters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odometer_reading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eastAsia="Google Sans" w:cs="Google Sans" w:ascii="Google Sans" w:hAnsi="Google Sans"/>
                <w:b/>
                <w:bCs/>
              </w:rPr>
              <w:t>timestamp</w:t>
            </w:r>
          </w:p>
        </w:tc>
      </w:tr>
      <w:tr>
        <w:trPr/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TXN_550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1HGBH225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120.5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45200.0</w:t>
            </w:r>
          </w:p>
        </w:tc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rFonts w:ascii="Google Sans" w:hAnsi="Google Sans" w:eastAsia="Google Sans" w:cs="Google Sans"/>
              </w:rPr>
            </w:pPr>
            <w:r>
              <w:rPr>
                <w:rFonts w:eastAsia="Google Sans" w:cs="Google Sans" w:ascii="Google Sans" w:hAnsi="Google Sans"/>
              </w:rPr>
              <w:t>2026-04-14 06:45:00</w:t>
            </w:r>
          </w:p>
        </w:tc>
      </w:tr>
    </w:tbl>
    <w:p>
      <w:pPr>
        <w:pStyle w:val="Heading4"/>
        <w:spacing w:lineRule="auto" w:line="271" w:before="0" w:after="255"/>
        <w:ind w:hanging="0" w:left="0"/>
        <w:rPr/>
      </w:pPr>
      <w:r>
        <w:rPr/>
      </w:r>
    </w:p>
    <w:p>
      <w:pPr>
        <w:pStyle w:val="Heading4"/>
        <w:spacing w:lineRule="auto" w:line="271" w:before="0" w:after="255"/>
        <w:ind w:hanging="0" w:left="0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5. Telemetry Stream (Kafka Stream)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Real-time JSON objects used for safety flagging.</w:t>
      </w:r>
    </w:p>
    <w:p>
      <w:pPr>
        <w:pStyle w:val="Normal"/>
        <w:numPr>
          <w:ilvl w:val="0"/>
          <w:numId w:val="5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Schema:</w:t>
      </w:r>
      <w:r>
        <w:rPr>
          <w:rFonts w:eastAsia="Google Sans" w:cs="Google Sans" w:ascii="Google Sans" w:hAnsi="Google Sans"/>
        </w:rPr>
        <w:t xml:space="preserve"> vin (String), driver_id (String), speed (Integer), lat (Float), long (Float), event_timestamp (Kafka Timestamp).</w:t>
      </w:r>
    </w:p>
    <w:p>
      <w:pPr>
        <w:pStyle w:val="Normal"/>
        <w:numPr>
          <w:ilvl w:val="0"/>
          <w:numId w:val="5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Frequency:</w:t>
      </w:r>
      <w:r>
        <w:rPr>
          <w:rFonts w:eastAsia="Google Sans" w:cs="Google Sans" w:ascii="Google Sans" w:hAnsi="Google Sans"/>
        </w:rPr>
        <w:t xml:space="preserve"> Real-time.</w:t>
      </w:r>
    </w:p>
    <w:p>
      <w:pPr>
        <w:pStyle w:val="Normal"/>
        <w:numPr>
          <w:ilvl w:val="0"/>
          <w:numId w:val="5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Sample:</w:t>
      </w:r>
      <w:r>
        <w:rPr/>
        <w:br/>
      </w:r>
      <w:r>
        <w:rPr>
          <w:rFonts w:eastAsia="Google Sans" w:cs="Google Sans" w:ascii="Google Sans" w:hAnsi="Google Sans"/>
        </w:rPr>
        <w:t>JSON</w:t>
      </w:r>
      <w:r>
        <w:rPr/>
        <w:br/>
      </w:r>
      <w:r>
        <w:rPr>
          <w:rFonts w:eastAsia="Google Sans" w:cs="Google Sans" w:ascii="Google Sans" w:hAnsi="Google Sans"/>
        </w:rPr>
        <w:t>{</w:t>
        <w:br/>
        <w:t xml:space="preserve">  "vin": "1HGBH225",</w:t>
        <w:br/>
        <w:t xml:space="preserve">  "driver_id": "DRV_902",</w:t>
        <w:br/>
        <w:t xml:space="preserve">  "speed": 115,</w:t>
        <w:br/>
        <w:t xml:space="preserve">  "lat": 28.6139,</w:t>
        <w:br/>
        <w:t xml:space="preserve">  "long": 77.2090</w:t>
        <w:br/>
        <w:t>}</w:t>
        <w:br/>
      </w:r>
    </w:p>
    <w:p>
      <w:pPr>
        <w:pStyle w:val="Heading4"/>
        <w:spacing w:lineRule="auto" w:line="271" w:before="0" w:after="255"/>
        <w:ind w:hanging="0" w:left="0"/>
        <w:rPr>
          <w:rFonts w:ascii="Google Sans" w:hAnsi="Google Sans" w:eastAsia="Google Sans" w:cs="Google Sans"/>
        </w:rPr>
      </w:pPr>
      <w:bookmarkStart w:id="1" w:name="_2oeg3h601zh9"/>
      <w:bookmarkEnd w:id="1"/>
      <w:r>
        <w:rPr>
          <w:rFonts w:eastAsia="Google Sans" w:cs="Google Sans" w:ascii="Google Sans" w:hAnsi="Google Sans"/>
        </w:rPr>
        <w:t>6. Restricted Zones (restricted_zones.json)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  <w:t>A reference file containing coordinates that trigger a "Safety Strike" if breached.</w:t>
      </w:r>
    </w:p>
    <w:p>
      <w:pPr>
        <w:pStyle w:val="Normal"/>
        <w:numPr>
          <w:ilvl w:val="0"/>
          <w:numId w:val="6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Schema:</w:t>
      </w:r>
      <w:r>
        <w:rPr>
          <w:rFonts w:eastAsia="Google Sans" w:cs="Google Sans" w:ascii="Google Sans" w:hAnsi="Google Sans"/>
        </w:rPr>
        <w:t xml:space="preserve"> zone_name (String), min_lat (Float), max_lat (Float), min_long (Float), max_long (Float).</w:t>
      </w:r>
    </w:p>
    <w:p>
      <w:pPr>
        <w:pStyle w:val="Normal"/>
        <w:numPr>
          <w:ilvl w:val="0"/>
          <w:numId w:val="6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Frequency:</w:t>
      </w:r>
      <w:r>
        <w:rPr>
          <w:rFonts w:eastAsia="Google Sans" w:cs="Google Sans" w:ascii="Google Sans" w:hAnsi="Google Sans"/>
        </w:rPr>
        <w:t xml:space="preserve"> Static/Updated ad-hoc.</w:t>
      </w:r>
    </w:p>
    <w:p>
      <w:pPr>
        <w:pStyle w:val="Normal"/>
        <w:numPr>
          <w:ilvl w:val="0"/>
          <w:numId w:val="6"/>
        </w:numPr>
        <w:spacing w:lineRule="auto" w:line="271"/>
        <w:rPr/>
      </w:pPr>
      <w:r>
        <w:rPr>
          <w:rFonts w:eastAsia="Google Sans" w:cs="Google Sans" w:ascii="Google Sans" w:hAnsi="Google Sans"/>
          <w:b/>
          <w:bCs/>
        </w:rPr>
        <w:t>Sample:</w:t>
      </w:r>
      <w:r>
        <w:rPr/>
        <w:br/>
      </w:r>
      <w:r>
        <w:rPr>
          <w:rFonts w:eastAsia="Google Sans" w:cs="Google Sans" w:ascii="Google Sans" w:hAnsi="Google Sans"/>
        </w:rPr>
        <w:t>JSON</w:t>
      </w:r>
      <w:r>
        <w:rPr/>
        <w:br/>
      </w:r>
      <w:r>
        <w:rPr>
          <w:rFonts w:eastAsia="Google Sans" w:cs="Google Sans" w:ascii="Google Sans" w:hAnsi="Google Sans"/>
        </w:rPr>
        <w:t>[</w:t>
        <w:br/>
        <w:t xml:space="preserve">  {</w:t>
        <w:br/>
        <w:t xml:space="preserve">    "zone_name": "High_Risk_Pass_A",</w:t>
        <w:br/>
        <w:t xml:space="preserve">    "min_lat": 34.05,</w:t>
        <w:br/>
        <w:t xml:space="preserve">    "max_lat": 34.10,</w:t>
        <w:br/>
        <w:t xml:space="preserve">    "min_long": -118.25,</w:t>
        <w:br/>
        <w:t xml:space="preserve">    "max_long": -118.20</w:t>
        <w:br/>
        <w:t xml:space="preserve">  }</w:t>
        <w:br/>
        <w:t>]</w:t>
      </w:r>
    </w:p>
    <w:p>
      <w:pPr>
        <w:pStyle w:val="Normal"/>
        <w:spacing w:lineRule="auto" w:line="271"/>
        <w:rPr/>
      </w:pPr>
      <w:r>
        <w:rPr/>
      </w:r>
    </w:p>
    <w:p>
      <w:pPr>
        <w:pStyle w:val="Normal"/>
        <w:spacing w:lineRule="auto" w:line="271"/>
        <w:rPr/>
      </w:pPr>
      <w:r>
        <w:rPr/>
      </w:r>
    </w:p>
    <w:p>
      <w:pPr>
        <w:pStyle w:val="Normal"/>
        <w:spacing w:lineRule="auto" w:line="271"/>
        <w:rPr/>
      </w:pPr>
      <w:r>
        <w:rPr/>
        <w:t xml:space="preserve">To help you implement the </w:t>
      </w:r>
      <w:r>
        <w:rPr>
          <w:b/>
          <w:bCs/>
        </w:rPr>
        <w:t>OmniRoute</w:t>
      </w:r>
      <w:r>
        <w:rPr/>
        <w:t xml:space="preserve"> logic, here is a breakdown of the processing scenarios with examples.</w:t>
      </w:r>
    </w:p>
    <w:p>
      <w:pPr>
        <w:pStyle w:val="Heading2"/>
        <w:spacing w:lineRule="auto" w:line="271" w:before="0" w:after="225"/>
        <w:ind w:hanging="0" w:left="0"/>
        <w:rPr/>
      </w:pPr>
      <w:r>
        <w:rPr/>
        <w:t>1. Asset History: SCD Type 2 &amp; Continuity</w:t>
      </w:r>
    </w:p>
    <w:p>
      <w:pPr>
        <w:pStyle w:val="Normal"/>
        <w:spacing w:lineRule="auto" w:line="271"/>
        <w:rPr/>
      </w:pPr>
      <w:r>
        <w:rPr/>
        <w:t>This logic ensures we track every driver who has ever touched a vehicle without losing historical data.</w:t>
      </w:r>
    </w:p>
    <w:p>
      <w:pPr>
        <w:pStyle w:val="Heading3"/>
        <w:spacing w:lineRule="auto" w:line="271" w:before="0" w:after="240"/>
        <w:ind w:hanging="0" w:left="0"/>
        <w:rPr/>
      </w:pPr>
      <w:r>
        <w:rPr/>
        <w:t>Scenario: The Driver Swap</w:t>
      </w:r>
    </w:p>
    <w:p>
      <w:pPr>
        <w:pStyle w:val="Normal"/>
        <w:spacing w:lineRule="auto" w:line="271"/>
        <w:rPr/>
      </w:pPr>
      <w:r>
        <w:rPr/>
        <w:t xml:space="preserve">Suppose </w:t>
      </w:r>
      <w:r>
        <w:rPr>
          <w:b/>
          <w:bCs/>
        </w:rPr>
        <w:t>Vehicle-A</w:t>
      </w:r>
      <w:r>
        <w:rPr/>
        <w:t xml:space="preserve"> is currently being driven by </w:t>
      </w:r>
      <w:r>
        <w:rPr>
          <w:b/>
          <w:bCs/>
        </w:rPr>
        <w:t>Driver-1</w:t>
      </w:r>
      <w:r>
        <w:rPr/>
        <w:t xml:space="preserve">. On April 15th, </w:t>
      </w:r>
      <w:r>
        <w:rPr>
          <w:b/>
          <w:bCs/>
        </w:rPr>
        <w:t>Driver-2</w:t>
      </w:r>
      <w:r>
        <w:rPr/>
        <w:t xml:space="preserve"> takes over.</w:t>
      </w:r>
    </w:p>
    <w:p>
      <w:pPr>
        <w:pStyle w:val="Normal"/>
        <w:spacing w:lineRule="auto" w:line="271"/>
        <w:rPr>
          <w:b/>
          <w:bCs/>
        </w:rPr>
      </w:pPr>
      <w:r>
        <w:rPr>
          <w:b/>
          <w:bCs/>
        </w:rPr>
        <w:t>Current State (Table):</w:t>
      </w:r>
    </w:p>
    <w:tbl>
      <w:tblPr>
        <w:tblW w:w="9360" w:type="dxa"/>
        <w:jc w:val="left"/>
        <w:tblInd w:w="-109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560"/>
        <w:gridCol w:w="1559"/>
        <w:gridCol w:w="1561"/>
        <w:gridCol w:w="1560"/>
        <w:gridCol w:w="1559"/>
        <w:gridCol w:w="1560"/>
      </w:tblGrid>
      <w:tr>
        <w:trPr/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Vin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driver_id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start_date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end_date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daily_rate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>
        <w:trPr/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VIN-100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DRV-001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2026-04-01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NULL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500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IN-TRANSIT</w:t>
            </w:r>
          </w:p>
        </w:tc>
      </w:tr>
    </w:tbl>
    <w:p>
      <w:pPr>
        <w:pStyle w:val="Normal"/>
        <w:spacing w:lineRule="auto" w:line="271" w:before="480" w:after="0"/>
        <w:rPr>
          <w:b/>
          <w:bCs/>
        </w:rPr>
      </w:pPr>
      <w:r>
        <w:rPr>
          <w:b/>
          <w:bCs/>
        </w:rPr>
        <w:t>New Incremental File Received:</w:t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/>
        <w:t>vin: VIN-100, driver_id: DRV-002, start_date: 2026-04-15, daily_rate: 550</w:t>
      </w:r>
    </w:p>
    <w:p>
      <w:pPr>
        <w:pStyle w:val="Normal"/>
        <w:spacing w:lineRule="auto" w:line="271"/>
        <w:rPr/>
      </w:pPr>
      <w:r>
        <w:rPr>
          <w:b/>
          <w:bCs/>
        </w:rPr>
        <w:t>Final State after Processing:</w:t>
      </w:r>
      <w:r>
        <w:rPr/>
        <w:t xml:space="preserve"> The system must "close" the old record and "open" the new one.</w:t>
      </w:r>
    </w:p>
    <w:p>
      <w:pPr>
        <w:pStyle w:val="Normal"/>
        <w:numPr>
          <w:ilvl w:val="0"/>
          <w:numId w:val="2"/>
        </w:numPr>
        <w:spacing w:lineRule="auto" w:line="271"/>
        <w:rPr/>
      </w:pPr>
      <w:r>
        <w:rPr>
          <w:b/>
          <w:bCs/>
        </w:rPr>
        <w:t>Update Row 1:</w:t>
      </w:r>
      <w:r>
        <w:rPr/>
        <w:t xml:space="preserve"> Set end_date to 2026-04-15 and status to </w:t>
      </w:r>
      <w:r>
        <w:rPr>
          <w:b/>
          <w:bCs/>
        </w:rPr>
        <w:t>ARCHIVED</w:t>
      </w:r>
      <w:r>
        <w:rPr/>
        <w:t>.</w:t>
      </w:r>
    </w:p>
    <w:p>
      <w:pPr>
        <w:pStyle w:val="Normal"/>
        <w:numPr>
          <w:ilvl w:val="0"/>
          <w:numId w:val="2"/>
        </w:numPr>
        <w:spacing w:lineRule="auto" w:line="271"/>
        <w:rPr/>
      </w:pPr>
      <w:r>
        <w:rPr>
          <w:b/>
          <w:bCs/>
        </w:rPr>
        <w:t>Insert Row 2:</w:t>
      </w:r>
      <w:r>
        <w:rPr/>
        <w:t xml:space="preserve"> New record with start_date 2026-04-15, end_date as NULL, and status as </w:t>
      </w:r>
      <w:r>
        <w:rPr>
          <w:b/>
          <w:bCs/>
        </w:rPr>
        <w:t>IN-TRANSIT</w:t>
      </w:r>
      <w:r>
        <w:rPr/>
        <w:t>.</w:t>
      </w:r>
    </w:p>
    <w:p>
      <w:pPr>
        <w:pStyle w:val="Heading2"/>
        <w:spacing w:lineRule="auto" w:line="271" w:before="0" w:after="225"/>
        <w:ind w:hanging="0" w:left="0"/>
        <w:rPr/>
      </w:pPr>
      <w:r>
        <w:rPr/>
      </w:r>
    </w:p>
    <w:p>
      <w:pPr>
        <w:pStyle w:val="Heading2"/>
        <w:spacing w:lineRule="auto" w:line="271" w:before="0" w:after="225"/>
        <w:ind w:hanging="0" w:left="0"/>
        <w:rPr/>
      </w:pPr>
      <w:r>
        <w:rPr/>
        <w:t>2. Conflict Resolution: The "Highest Rate" Rule</w:t>
      </w:r>
    </w:p>
    <w:p>
      <w:pPr>
        <w:pStyle w:val="Normal"/>
        <w:spacing w:lineRule="auto" w:line="271"/>
        <w:rPr/>
      </w:pPr>
      <w:r>
        <w:rPr/>
        <w:t>In data engineering, upstream systems often send duplicate or corrected records in the same batch.</w:t>
      </w:r>
    </w:p>
    <w:p>
      <w:pPr>
        <w:pStyle w:val="Heading3"/>
        <w:spacing w:lineRule="auto" w:line="271" w:before="0" w:after="240"/>
        <w:ind w:hanging="0" w:left="0"/>
        <w:rPr/>
      </w:pPr>
      <w:r>
        <w:rPr/>
        <w:t>Scenario: Overlapping Records</w:t>
      </w:r>
    </w:p>
    <w:p>
      <w:pPr>
        <w:pStyle w:val="Normal"/>
        <w:spacing w:lineRule="auto" w:line="271"/>
        <w:rPr/>
      </w:pPr>
      <w:r>
        <w:rPr/>
        <w:t>Your daily S3 folder receives two records for the same vehicle for the same day.</w:t>
      </w:r>
    </w:p>
    <w:p>
      <w:pPr>
        <w:pStyle w:val="Normal"/>
        <w:numPr>
          <w:ilvl w:val="0"/>
          <w:numId w:val="3"/>
        </w:numPr>
        <w:spacing w:lineRule="auto" w:line="271"/>
        <w:rPr/>
      </w:pPr>
      <w:r>
        <w:rPr>
          <w:b/>
          <w:bCs/>
        </w:rPr>
        <w:t>Record A:</w:t>
      </w:r>
      <w:r>
        <w:rPr/>
        <w:t xml:space="preserve"> VIN-200, Driver-X, Rate: </w:t>
      </w:r>
      <w:r>
        <w:rPr>
          <w:b/>
          <w:bCs/>
        </w:rPr>
        <w:t>400</w:t>
      </w:r>
    </w:p>
    <w:p>
      <w:pPr>
        <w:pStyle w:val="Normal"/>
        <w:numPr>
          <w:ilvl w:val="0"/>
          <w:numId w:val="3"/>
        </w:numPr>
        <w:spacing w:lineRule="auto" w:line="271"/>
        <w:rPr/>
      </w:pPr>
      <w:r>
        <w:rPr>
          <w:b/>
          <w:bCs/>
        </w:rPr>
        <w:t>Record B:</w:t>
      </w:r>
      <w:r>
        <w:rPr/>
        <w:t xml:space="preserve"> VIN-200, Driver-Y, Rate: </w:t>
      </w:r>
      <w:r>
        <w:rPr>
          <w:b/>
          <w:bCs/>
        </w:rPr>
        <w:t>600</w:t>
      </w:r>
    </w:p>
    <w:p>
      <w:pPr>
        <w:pStyle w:val="Normal"/>
        <w:spacing w:lineRule="auto" w:line="271"/>
        <w:rPr/>
      </w:pPr>
      <w:r>
        <w:rPr>
          <w:b/>
          <w:bCs/>
        </w:rPr>
        <w:t>Processing Logic:</w:t>
      </w:r>
      <w:r>
        <w:rPr/>
        <w:t xml:space="preserve"> The developer must use a window function (like ROW_NUMBER() partitioned by vin and start_date ordered by daily_rate DESC).</w:t>
      </w:r>
    </w:p>
    <w:p>
      <w:pPr>
        <w:pStyle w:val="Normal"/>
        <w:numPr>
          <w:ilvl w:val="0"/>
          <w:numId w:val="4"/>
        </w:numPr>
        <w:spacing w:lineRule="auto" w:line="271"/>
        <w:rPr/>
      </w:pPr>
      <w:r>
        <w:rPr>
          <w:b/>
          <w:bCs/>
        </w:rPr>
        <w:t>Result:</w:t>
      </w:r>
      <w:r>
        <w:rPr/>
        <w:t xml:space="preserve"> Record A is discarded. Record B is ingested into the DWH.</w:t>
      </w:r>
    </w:p>
    <w:p>
      <w:pPr>
        <w:pStyle w:val="Heading2"/>
        <w:spacing w:lineRule="auto" w:line="271" w:before="0" w:after="225"/>
        <w:ind w:hanging="0" w:left="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/>
        <w:t>3. Efficiency Auditing: Fuel vs. Distance</w:t>
      </w:r>
    </w:p>
    <w:p>
      <w:pPr>
        <w:pStyle w:val="Normal"/>
        <w:spacing w:lineRule="auto" w:line="271"/>
        <w:rPr/>
      </w:pPr>
      <w:r>
        <w:rPr/>
        <w:t>This identifies "fuel abuse" by comparing actual consumption against a fleet baseline.</w:t>
      </w:r>
    </w:p>
    <w:p>
      <w:pPr>
        <w:pStyle w:val="Heading3"/>
        <w:spacing w:lineRule="auto" w:line="271" w:before="0" w:after="240"/>
        <w:ind w:hanging="0" w:left="0"/>
        <w:rPr/>
      </w:pPr>
      <w:r>
        <w:rPr/>
        <w:t>Scenario: Identifying an Outlier</w:t>
      </w:r>
    </w:p>
    <w:p>
      <w:pPr>
        <w:pStyle w:val="Normal"/>
        <w:numPr>
          <w:ilvl w:val="0"/>
          <w:numId w:val="5"/>
        </w:numPr>
        <w:spacing w:lineRule="auto" w:line="271"/>
        <w:rPr/>
      </w:pPr>
      <w:r>
        <w:rPr>
          <w:b/>
          <w:bCs/>
        </w:rPr>
        <w:t>The Baseline:</w:t>
      </w:r>
      <w:r>
        <w:rPr/>
        <w:t xml:space="preserve"> The average fuel consumption for "Freightliner M2" models is </w:t>
      </w:r>
      <w:r>
        <w:rPr>
          <w:b/>
          <w:bCs/>
        </w:rPr>
        <w:t>5.0 km/Liter</w:t>
      </w:r>
      <w:r>
        <w:rPr/>
        <w:t>.</w:t>
      </w:r>
    </w:p>
    <w:p>
      <w:pPr>
        <w:pStyle w:val="Normal"/>
        <w:numPr>
          <w:ilvl w:val="0"/>
          <w:numId w:val="5"/>
        </w:numPr>
        <w:spacing w:lineRule="auto" w:line="271"/>
        <w:rPr/>
      </w:pPr>
      <w:r>
        <w:rPr>
          <w:b/>
          <w:bCs/>
        </w:rPr>
        <w:t>The Threshold:</w:t>
      </w:r>
      <w:r>
        <w:rPr/>
        <w:t xml:space="preserve"> 12% over baseline means any vehicle doing worse than </w:t>
      </w:r>
      <w:r>
        <w:rPr>
          <w:b/>
          <w:bCs/>
        </w:rPr>
        <w:t>4.4 km/Liter</w:t>
      </w:r>
      <w:r>
        <w:rPr/>
        <w:t xml:space="preserve"> (5.0 - 12%) is flagged.</w:t>
      </w:r>
    </w:p>
    <w:p>
      <w:pPr>
        <w:pStyle w:val="Normal"/>
        <w:spacing w:lineRule="auto" w:line="271"/>
        <w:rPr>
          <w:b/>
          <w:bCs/>
        </w:rPr>
      </w:pPr>
      <w:r>
        <w:rPr>
          <w:b/>
          <w:bCs/>
        </w:rPr>
        <w:t>Calculation Data Points:</w:t>
      </w:r>
    </w:p>
    <w:p>
      <w:pPr>
        <w:pStyle w:val="Normal"/>
        <w:numPr>
          <w:ilvl w:val="0"/>
          <w:numId w:val="6"/>
        </w:numPr>
        <w:spacing w:lineRule="auto" w:line="271"/>
        <w:rPr/>
      </w:pPr>
      <w:r>
        <w:rPr>
          <w:b/>
          <w:bCs/>
        </w:rPr>
        <w:t>Fuel Transactions:</w:t>
      </w:r>
      <w:r>
        <w:rPr/>
        <w:t xml:space="preserve"> Vehicle VIN-300 consumed </w:t>
      </w:r>
      <w:r>
        <w:rPr>
          <w:b/>
          <w:bCs/>
        </w:rPr>
        <w:t>100 Liters</w:t>
      </w:r>
      <w:r>
        <w:rPr/>
        <w:t>.</w:t>
      </w:r>
    </w:p>
    <w:p>
      <w:pPr>
        <w:pStyle w:val="Normal"/>
        <w:numPr>
          <w:ilvl w:val="0"/>
          <w:numId w:val="6"/>
        </w:numPr>
        <w:spacing w:lineRule="auto" w:line="271"/>
        <w:rPr/>
      </w:pPr>
      <w:r>
        <w:rPr>
          <w:b/>
          <w:bCs/>
        </w:rPr>
        <w:t>Distance:</w:t>
      </w:r>
      <w:r>
        <w:rPr/>
        <w:t xml:space="preserve"> Odometer went from 10,000 to 10,400 (</w:t>
      </w:r>
      <w:r>
        <w:rPr>
          <w:b/>
          <w:bCs/>
        </w:rPr>
        <w:t>400 km traveled</w:t>
      </w:r>
      <w:r>
        <w:rPr/>
        <w:t>).</w:t>
      </w:r>
    </w:p>
    <w:p>
      <w:pPr>
        <w:pStyle w:val="Normal"/>
        <w:numPr>
          <w:ilvl w:val="0"/>
          <w:numId w:val="6"/>
        </w:numPr>
        <w:spacing w:lineRule="auto" w:line="271"/>
        <w:rPr/>
      </w:pPr>
      <w:r>
        <w:rPr>
          <w:b/>
          <w:bCs/>
        </w:rPr>
        <w:t>Result:</w:t>
      </w:r>
      <w:r>
        <w:rPr/>
        <w:t xml:space="preserve"> 400km / 100L = </w:t>
      </w:r>
      <w:r>
        <w:rPr>
          <w:b/>
          <w:bCs/>
        </w:rPr>
        <w:t>4.0 km/Liter</w:t>
      </w:r>
      <w:r>
        <w:rPr/>
        <w:t>.</w:t>
      </w:r>
    </w:p>
    <w:p>
      <w:pPr>
        <w:pStyle w:val="Normal"/>
        <w:numPr>
          <w:ilvl w:val="0"/>
          <w:numId w:val="6"/>
        </w:numPr>
        <w:spacing w:lineRule="auto" w:line="271"/>
        <w:rPr/>
      </w:pPr>
      <w:r>
        <w:rPr>
          <w:b/>
          <w:bCs/>
        </w:rPr>
        <w:t>Audit Result:</w:t>
      </w:r>
      <w:r>
        <w:rPr/>
        <w:t xml:space="preserve"> Since 4.0 is less than the 4.4 threshold, this vehicle is flagged in the 05:00 UTC report.</w:t>
      </w:r>
    </w:p>
    <w:p>
      <w:pPr>
        <w:pStyle w:val="Normal"/>
        <w:spacing w:lineRule="auto" w:line="271"/>
        <w:rPr/>
      </w:pPr>
      <w:r>
        <w:rPr/>
      </w:r>
    </w:p>
    <w:p>
      <w:pPr>
        <w:pStyle w:val="Normal"/>
        <w:spacing w:lineRule="auto" w:line="271"/>
        <w:rPr/>
      </w:pPr>
      <w:r>
        <w:rPr>
          <w:b/>
          <w:bCs/>
        </w:rPr>
        <w:t>Critical Exclusion:</w:t>
      </w:r>
      <w:r>
        <w:rPr/>
        <w:t xml:space="preserve"> If April 12th was a Sunday (weekend) or the vehicle was in the maintenance_schedules.csv for that day, that day’s fuel data is </w:t>
      </w:r>
      <w:r>
        <w:rPr>
          <w:b/>
          <w:bCs/>
        </w:rPr>
        <w:t>ignored</w:t>
      </w:r>
      <w:r>
        <w:rPr/>
        <w:t xml:space="preserve"> to ensure the driver isn't penalized for idling at a workshop.</w:t>
      </w:r>
    </w:p>
    <w:p>
      <w:pPr>
        <w:pStyle w:val="Heading2"/>
        <w:spacing w:lineRule="auto" w:line="271" w:before="0" w:after="225"/>
        <w:ind w:hanging="0" w:left="0"/>
        <w:rPr/>
      </w:pPr>
      <w:r>
        <w:rPr/>
      </w:r>
    </w:p>
    <w:p>
      <w:pPr>
        <w:pStyle w:val="Heading2"/>
        <w:spacing w:lineRule="auto" w:line="271" w:before="0" w:after="225"/>
        <w:ind w:hanging="0" w:left="0"/>
        <w:rPr/>
      </w:pPr>
      <w:r>
        <w:rPr/>
        <w:t>4. Reporting: Active Fleet Count</w:t>
      </w:r>
    </w:p>
    <w:p>
      <w:pPr>
        <w:pStyle w:val="Normal"/>
        <w:spacing w:lineRule="auto" w:line="271"/>
        <w:rPr/>
      </w:pPr>
      <w:r>
        <w:rPr/>
        <w:t>This is a simple aggregation used by management to see fleet distribution.</w:t>
      </w:r>
    </w:p>
    <w:p>
      <w:pPr>
        <w:pStyle w:val="Heading3"/>
        <w:spacing w:lineRule="auto" w:line="271" w:before="0" w:after="240"/>
        <w:ind w:hanging="0" w:left="0"/>
        <w:rPr/>
      </w:pPr>
      <w:r>
        <w:rPr/>
        <w:t>Scenario: Morning Snapshot</w:t>
      </w:r>
    </w:p>
    <w:p>
      <w:pPr>
        <w:pStyle w:val="Normal"/>
        <w:spacing w:lineRule="auto" w:line="271"/>
        <w:rPr/>
      </w:pPr>
      <w:r>
        <w:rPr/>
        <w:t>At 05:00 UTC, the system scans the Asset History table for all records where status = 'IN-TRANSIT'.</w:t>
      </w:r>
    </w:p>
    <w:p>
      <w:pPr>
        <w:pStyle w:val="Normal"/>
        <w:spacing w:lineRule="auto" w:line="271"/>
        <w:rPr>
          <w:b/>
          <w:bCs/>
        </w:rPr>
      </w:pPr>
      <w:r>
        <w:rPr>
          <w:b/>
          <w:bCs/>
        </w:rPr>
        <w:t>Example Output Table:</w:t>
      </w:r>
    </w:p>
    <w:tbl>
      <w:tblPr>
        <w:tblW w:w="9360" w:type="dxa"/>
        <w:jc w:val="left"/>
        <w:tblInd w:w="-109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no_of_active_vehicles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Volvo VNL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45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Freightliner M2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122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Isuzu N-Series</w:t>
            </w:r>
          </w:p>
        </w:tc>
        <w:tc>
          <w:tcPr>
            <w:tcW w:w="4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89</w:t>
            </w:r>
          </w:p>
        </w:tc>
      </w:tr>
    </w:tbl>
    <w:p>
      <w:pPr>
        <w:pStyle w:val="Heading3"/>
        <w:spacing w:lineRule="auto" w:line="271" w:before="480" w:after="240"/>
        <w:ind w:hanging="0" w:left="0"/>
        <w:rPr/>
      </w:pPr>
      <w:bookmarkStart w:id="2" w:name="_j019wfpmohma"/>
      <w:bookmarkEnd w:id="2"/>
      <w:r>
        <w:rPr/>
        <w:t>Summary for Developers:</w:t>
      </w:r>
    </w:p>
    <w:p>
      <w:pPr>
        <w:pStyle w:val="Normal"/>
        <w:numPr>
          <w:ilvl w:val="0"/>
          <w:numId w:val="7"/>
        </w:numPr>
        <w:spacing w:lineRule="auto" w:line="271"/>
        <w:rPr/>
      </w:pPr>
      <w:r>
        <w:rPr>
          <w:b/>
          <w:bCs/>
        </w:rPr>
        <w:t>Batch Jobs (S3):</w:t>
      </w:r>
      <w:r>
        <w:rPr/>
        <w:t xml:space="preserve"> Use Spark/Glue to handle the SCD Type 2 logic and deduplication.</w:t>
      </w:r>
    </w:p>
    <w:p>
      <w:pPr>
        <w:pStyle w:val="Normal"/>
        <w:numPr>
          <w:ilvl w:val="0"/>
          <w:numId w:val="7"/>
        </w:numPr>
        <w:spacing w:lineRule="auto" w:line="271"/>
        <w:rPr/>
      </w:pPr>
      <w:r>
        <w:rPr>
          <w:b/>
          <w:bCs/>
        </w:rPr>
        <w:t>Scheduling:</w:t>
      </w:r>
      <w:r>
        <w:rPr/>
        <w:t xml:space="preserve"> Ensure the Fuel Audit runs </w:t>
      </w:r>
      <w:r>
        <w:rPr>
          <w:i/>
          <w:iCs/>
        </w:rPr>
        <w:t>after</w:t>
      </w:r>
      <w:r>
        <w:rPr/>
        <w:t xml:space="preserve"> the Asset History update so it uses the most recent daily_rate and status.</w:t>
      </w:r>
    </w:p>
    <w:p>
      <w:pPr>
        <w:pStyle w:val="Normal"/>
        <w:numPr>
          <w:ilvl w:val="0"/>
          <w:numId w:val="7"/>
        </w:numPr>
        <w:spacing w:lineRule="auto" w:line="271"/>
        <w:rPr/>
      </w:pPr>
      <w:r>
        <w:rPr>
          <w:b/>
          <w:bCs/>
        </w:rPr>
        <w:t>Fault Tolerance:</w:t>
      </w:r>
      <w:r>
        <w:rPr/>
        <w:t xml:space="preserve"> If a job fails and is restarted, ensure it doesn't create duplicate "ARCHIVED" records for the same day.</w:t>
      </w:r>
    </w:p>
    <w:p>
      <w:pPr>
        <w:pStyle w:val="Normal"/>
        <w:spacing w:lineRule="auto" w:line="271"/>
        <w:rPr/>
      </w:pPr>
      <w:r>
        <w:rPr/>
        <w:t xml:space="preserve">To implement the </w:t>
      </w:r>
      <w:r>
        <w:rPr>
          <w:b/>
          <w:bCs/>
        </w:rPr>
        <w:t>OmniRoute</w:t>
      </w:r>
      <w:r>
        <w:rPr/>
        <w:t xml:space="preserve"> safety and streaming logic, you must build a stateful system that processes real-time events while interacting with historical driver data.</w:t>
      </w:r>
    </w:p>
    <w:p>
      <w:pPr>
        <w:pStyle w:val="Normal"/>
        <w:spacing w:lineRule="auto" w:line="271"/>
        <w:rPr/>
      </w:pPr>
      <w:r>
        <w:rPr/>
        <w:t>Below are the key scenarios and technical logic explained through examples.</w:t>
      </w:r>
    </w:p>
    <w:p>
      <w:pPr>
        <w:pStyle w:val="Normal"/>
        <w:spacing w:lineRule="auto" w:line="271"/>
        <w:rPr/>
      </w:pPr>
      <w:r>
        <w:rPr/>
      </w:r>
    </w:p>
    <w:p>
      <w:pPr>
        <w:pStyle w:val="Heading3"/>
        <w:spacing w:lineRule="auto" w:line="271" w:before="0" w:after="240"/>
        <w:ind w:hanging="0" w:left="0"/>
        <w:rPr/>
      </w:pPr>
      <w:r>
        <w:rPr/>
        <w:t>1. Violation Detection: The Speed &amp; Zone Filter</w:t>
      </w:r>
    </w:p>
    <w:p>
      <w:pPr>
        <w:pStyle w:val="Normal"/>
        <w:spacing w:lineRule="auto" w:line="271"/>
        <w:rPr/>
      </w:pPr>
      <w:r>
        <w:rPr/>
        <w:t>The streaming engine (e.g., Spark Streaming or Flink) must evaluate every incoming Kafka JSON message against a set of thresholds and a spatial reference file.</w:t>
      </w:r>
    </w:p>
    <w:p>
      <w:pPr>
        <w:pStyle w:val="Heading4"/>
        <w:spacing w:lineRule="auto" w:line="271" w:before="0" w:after="255"/>
        <w:ind w:hanging="0" w:left="0"/>
        <w:rPr/>
      </w:pPr>
      <w:r>
        <w:rPr/>
        <w:t>Scenario: The High-Speed Intrusion</w:t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>
          <w:b/>
          <w:bCs/>
        </w:rPr>
        <w:t>The Reference:</w:t>
      </w:r>
      <w:r>
        <w:rPr/>
        <w:t xml:space="preserve"> restricted_zones.json contains a polygon for "Zone_Alpha" (e.g., a high-pedestrian area).</w:t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>
          <w:b/>
          <w:bCs/>
        </w:rPr>
        <w:t>The Event:</w:t>
      </w:r>
      <w:r>
        <w:rPr/>
        <w:t xml:space="preserve"> A Kafka message arrives for </w:t>
      </w:r>
      <w:r>
        <w:rPr>
          <w:b/>
          <w:bCs/>
        </w:rPr>
        <w:t>VIN-700</w:t>
      </w:r>
      <w:r>
        <w:rPr/>
        <w:t>:</w:t>
      </w:r>
    </w:p>
    <w:p>
      <w:pPr>
        <w:pStyle w:val="Normal"/>
        <w:numPr>
          <w:ilvl w:val="1"/>
          <w:numId w:val="2"/>
        </w:numPr>
        <w:spacing w:lineRule="auto" w:line="271"/>
        <w:rPr/>
      </w:pPr>
      <w:r>
        <w:rPr/>
        <w:t>speed: 115 km/h</w:t>
      </w:r>
    </w:p>
    <w:p>
      <w:pPr>
        <w:pStyle w:val="Normal"/>
        <w:numPr>
          <w:ilvl w:val="1"/>
          <w:numId w:val="2"/>
        </w:numPr>
        <w:spacing w:lineRule="auto" w:line="271"/>
        <w:rPr/>
      </w:pPr>
      <w:r>
        <w:rPr/>
        <w:t>lat/long: Coordinates that fall inside "Zone_Alpha".</w:t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>
          <w:b/>
          <w:bCs/>
        </w:rPr>
        <w:t>The Logic:</w:t>
      </w:r>
      <w:r>
        <w:rPr/>
        <w:t xml:space="preserve"> * The speed is &gt; 110 km/h threshold.</w:t>
      </w:r>
    </w:p>
    <w:p>
      <w:pPr>
        <w:pStyle w:val="Normal"/>
        <w:numPr>
          <w:ilvl w:val="1"/>
          <w:numId w:val="3"/>
        </w:numPr>
        <w:spacing w:lineRule="auto" w:line="271"/>
        <w:rPr/>
      </w:pPr>
      <w:r>
        <w:rPr/>
        <w:t>The coordinates intersect with the restricted zone.</w:t>
      </w:r>
    </w:p>
    <w:p>
      <w:pPr>
        <w:pStyle w:val="Normal"/>
        <w:numPr>
          <w:ilvl w:val="0"/>
          <w:numId w:val="1"/>
        </w:numPr>
        <w:spacing w:lineRule="auto" w:line="271"/>
        <w:rPr/>
      </w:pPr>
      <w:r>
        <w:rPr>
          <w:b/>
          <w:bCs/>
        </w:rPr>
        <w:t>Result:</w:t>
      </w:r>
      <w:r>
        <w:rPr/>
        <w:t xml:space="preserve"> This single message triggers </w:t>
      </w:r>
      <w:r>
        <w:rPr>
          <w:b/>
          <w:bCs/>
        </w:rPr>
        <w:t>two</w:t>
      </w:r>
      <w:r>
        <w:rPr/>
        <w:t xml:space="preserve"> safety flags. However, system logic usually treats a single event window as </w:t>
      </w:r>
      <w:r>
        <w:rPr>
          <w:b/>
          <w:bCs/>
        </w:rPr>
        <w:t>one Safety Strike</w:t>
      </w:r>
      <w:r>
        <w:rPr/>
        <w:t xml:space="preserve"> to prevent over-penalizing for a single second of data.</w:t>
      </w:r>
    </w:p>
    <w:p>
      <w:pPr>
        <w:pStyle w:val="Heading3"/>
        <w:spacing w:lineRule="auto" w:line="271" w:before="0" w:after="240"/>
        <w:ind w:hanging="0" w:left="0"/>
        <w:rPr/>
      </w:pPr>
      <w:r>
        <w:rPr/>
      </w:r>
    </w:p>
    <w:p>
      <w:pPr>
        <w:pStyle w:val="Heading3"/>
        <w:spacing w:lineRule="auto" w:line="271" w:before="0" w:after="240"/>
        <w:ind w:hanging="0" w:left="0"/>
        <w:rPr/>
      </w:pPr>
      <w:r>
        <w:rPr/>
        <w:t>2. The Penalty System: Dynamic Salary Calculation</w:t>
      </w:r>
    </w:p>
    <w:p>
      <w:pPr>
        <w:pStyle w:val="Normal"/>
        <w:spacing w:lineRule="auto" w:line="271"/>
        <w:rPr/>
      </w:pPr>
      <w:r>
        <w:rPr/>
        <w:t>Unlike standard payroll, this system requires a "Resultant Table" that calculates a driver's net pay in near real-time based on their behavior.</w:t>
      </w:r>
    </w:p>
    <w:p>
      <w:pPr>
        <w:pStyle w:val="Heading4"/>
        <w:spacing w:lineRule="auto" w:line="271" w:before="0" w:after="255"/>
        <w:ind w:hanging="0" w:left="0"/>
        <w:rPr/>
      </w:pPr>
      <w:r>
        <w:rPr/>
        <w:t>Scenario: Calculating the "Strike Column"</w:t>
      </w:r>
    </w:p>
    <w:p>
      <w:pPr>
        <w:pStyle w:val="Normal"/>
        <w:numPr>
          <w:ilvl w:val="0"/>
          <w:numId w:val="4"/>
        </w:numPr>
        <w:spacing w:lineRule="auto" w:line="271"/>
        <w:rPr/>
      </w:pPr>
      <w:r>
        <w:rPr>
          <w:b/>
          <w:bCs/>
        </w:rPr>
        <w:t>Driver Base Rate:</w:t>
      </w:r>
      <w:r>
        <w:rPr/>
        <w:t xml:space="preserve"> $500/day (from the vehicle_assignment.csv).</w:t>
      </w:r>
    </w:p>
    <w:p>
      <w:pPr>
        <w:pStyle w:val="Normal"/>
        <w:numPr>
          <w:ilvl w:val="0"/>
          <w:numId w:val="4"/>
        </w:numPr>
        <w:spacing w:lineRule="auto" w:line="271"/>
        <w:rPr/>
      </w:pPr>
      <w:r>
        <w:rPr>
          <w:b/>
          <w:bCs/>
        </w:rPr>
        <w:t>The Event:</w:t>
      </w:r>
      <w:r>
        <w:rPr/>
        <w:t xml:space="preserve"> Driver-A gets their first Safety Strike of the month.</w:t>
      </w:r>
    </w:p>
    <w:p>
      <w:pPr>
        <w:pStyle w:val="Normal"/>
        <w:numPr>
          <w:ilvl w:val="0"/>
          <w:numId w:val="4"/>
        </w:numPr>
        <w:spacing w:lineRule="auto" w:line="271"/>
        <w:rPr/>
      </w:pPr>
      <w:r>
        <w:rPr>
          <w:b/>
          <w:bCs/>
        </w:rPr>
        <w:t>The Logic:</w:t>
      </w:r>
      <w:r>
        <w:rPr/>
        <w:t xml:space="preserve"> * Deduction = 5% of $500 = $25.  (Note: The new logistics project uses a 5% penalty compared to the previous 10%).</w:t>
      </w:r>
    </w:p>
    <w:p>
      <w:pPr>
        <w:pStyle w:val="Normal"/>
        <w:numPr>
          <w:ilvl w:val="0"/>
          <w:numId w:val="4"/>
        </w:numPr>
        <w:spacing w:lineRule="auto" w:line="271"/>
        <w:rPr>
          <w:b/>
          <w:bCs/>
        </w:rPr>
      </w:pPr>
      <w:r>
        <w:rPr>
          <w:b/>
          <w:bCs/>
        </w:rPr>
        <w:t>Resultant Table Entry:</w:t>
      </w:r>
    </w:p>
    <w:tbl>
      <w:tblPr>
        <w:tblW w:w="8760" w:type="dxa"/>
        <w:jc w:val="left"/>
        <w:tblInd w:w="599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2190"/>
        <w:gridCol w:w="2190"/>
        <w:gridCol w:w="2190"/>
        <w:gridCol w:w="2189"/>
      </w:tblGrid>
      <w:tr>
        <w:trPr/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driver_id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base_rate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strike_count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>
                <w:b/>
                <w:bCs/>
              </w:rPr>
            </w:pPr>
            <w:r>
              <w:rPr>
                <w:b/>
                <w:bCs/>
              </w:rPr>
              <w:t>current_adjusted_rate</w:t>
            </w:r>
          </w:p>
        </w:tc>
      </w:tr>
      <w:tr>
        <w:trPr/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DRV-A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500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1</w:t>
            </w:r>
          </w:p>
        </w:tc>
        <w:tc>
          <w:tcPr>
            <w:tcW w:w="21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71"/>
              <w:rPr/>
            </w:pPr>
            <w:r>
              <w:rPr/>
              <w:t>475</w:t>
            </w:r>
          </w:p>
        </w:tc>
      </w:tr>
    </w:tbl>
    <w:p>
      <w:pPr>
        <w:pStyle w:val="Normal"/>
        <w:spacing w:lineRule="auto" w:line="271"/>
        <w:rPr/>
      </w:pPr>
      <w:r>
        <w:rPr/>
      </w:r>
    </w:p>
    <w:p>
      <w:pPr>
        <w:pStyle w:val="Normal"/>
        <w:spacing w:lineRule="auto" w:line="271"/>
        <w:rPr/>
      </w:pPr>
      <w:r>
        <w:rPr>
          <w:b/>
          <w:bCs/>
        </w:rPr>
        <w:t>Developer Note:</w:t>
      </w:r>
      <w:r>
        <w:rPr/>
        <w:t xml:space="preserve"> The current_adjusted_rate must be a separate column so the original base_rate is never lost.</w:t>
      </w:r>
    </w:p>
    <w:p>
      <w:pPr>
        <w:pStyle w:val="Heading3"/>
        <w:spacing w:lineRule="auto" w:line="271" w:before="0" w:after="240"/>
        <w:ind w:hanging="0" w:left="0"/>
        <w:rPr/>
      </w:pPr>
      <w:r>
        <w:rPr/>
      </w:r>
    </w:p>
    <w:p>
      <w:pPr>
        <w:pStyle w:val="Heading3"/>
        <w:spacing w:lineRule="auto" w:line="271" w:before="0" w:after="240"/>
        <w:ind w:hanging="0" w:left="0"/>
        <w:rPr/>
      </w:pPr>
      <w:r>
        <w:rPr/>
        <w:t>3. Cooldown &amp; Suspension: The "Point of No Return"</w:t>
      </w:r>
    </w:p>
    <w:p>
      <w:pPr>
        <w:pStyle w:val="Normal"/>
        <w:spacing w:lineRule="auto" w:line="271"/>
        <w:rPr/>
      </w:pPr>
      <w:r>
        <w:rPr/>
        <w:t>This scenario handles the transition between months and identifies high-risk drivers who are no longer eligible for "forgiveness."</w:t>
      </w:r>
    </w:p>
    <w:p>
      <w:pPr>
        <w:pStyle w:val="Heading4"/>
        <w:spacing w:lineRule="auto" w:line="271" w:before="0" w:after="255"/>
        <w:ind w:hanging="0" w:left="0"/>
        <w:rPr/>
      </w:pPr>
      <w:r>
        <w:rPr/>
        <w:t>Scenario A: Standard Cooldown (The Forgiven)</w:t>
      </w:r>
    </w:p>
    <w:p>
      <w:pPr>
        <w:pStyle w:val="Normal"/>
        <w:numPr>
          <w:ilvl w:val="0"/>
          <w:numId w:val="5"/>
        </w:numPr>
        <w:spacing w:lineRule="auto" w:line="271"/>
        <w:rPr/>
      </w:pPr>
      <w:r>
        <w:rPr>
          <w:b/>
          <w:bCs/>
        </w:rPr>
        <w:t>Driver-B</w:t>
      </w:r>
      <w:r>
        <w:rPr/>
        <w:t xml:space="preserve"> has </w:t>
      </w:r>
      <w:r>
        <w:rPr>
          <w:b/>
          <w:bCs/>
        </w:rPr>
        <w:t>3 strikes</w:t>
      </w:r>
      <w:r>
        <w:rPr/>
        <w:t xml:space="preserve"> on May 31st.</w:t>
      </w:r>
    </w:p>
    <w:p>
      <w:pPr>
        <w:pStyle w:val="Normal"/>
        <w:numPr>
          <w:ilvl w:val="0"/>
          <w:numId w:val="5"/>
        </w:numPr>
        <w:spacing w:lineRule="auto" w:line="271"/>
        <w:rPr/>
      </w:pPr>
      <w:r>
        <w:rPr>
          <w:b/>
          <w:bCs/>
        </w:rPr>
        <w:t>The Logic:</w:t>
      </w:r>
      <w:r>
        <w:rPr/>
        <w:t xml:space="preserve"> On June 1st at 05:00 UTC, the system runs a batch job.</w:t>
      </w:r>
    </w:p>
    <w:p>
      <w:pPr>
        <w:pStyle w:val="Normal"/>
        <w:numPr>
          <w:ilvl w:val="0"/>
          <w:numId w:val="5"/>
        </w:numPr>
        <w:spacing w:lineRule="auto" w:line="271"/>
        <w:rPr/>
      </w:pPr>
      <w:r>
        <w:rPr>
          <w:b/>
          <w:bCs/>
        </w:rPr>
        <w:t>Result:</w:t>
      </w:r>
      <w:r>
        <w:rPr/>
        <w:t xml:space="preserve"> Strikes reset to </w:t>
      </w:r>
      <w:r>
        <w:rPr>
          <w:b/>
          <w:bCs/>
        </w:rPr>
        <w:t>0</w:t>
      </w:r>
      <w:r>
        <w:rPr/>
        <w:t>, and current_adjusted_rate is restored to the base_rate.</w:t>
      </w:r>
    </w:p>
    <w:p>
      <w:pPr>
        <w:pStyle w:val="Heading4"/>
        <w:spacing w:lineRule="auto" w:line="271" w:before="0" w:after="255"/>
        <w:ind w:hanging="0" w:left="0"/>
        <w:rPr/>
      </w:pPr>
      <w:r>
        <w:rPr/>
        <w:t>Scenario B: Suspension (The Hard Limit)</w:t>
      </w:r>
    </w:p>
    <w:p>
      <w:pPr>
        <w:pStyle w:val="Normal"/>
        <w:numPr>
          <w:ilvl w:val="0"/>
          <w:numId w:val="6"/>
        </w:numPr>
        <w:spacing w:lineRule="auto" w:line="271"/>
        <w:rPr/>
      </w:pPr>
      <w:r>
        <w:rPr>
          <w:b/>
          <w:bCs/>
        </w:rPr>
        <w:t>Driver-C</w:t>
      </w:r>
      <w:r>
        <w:rPr/>
        <w:t xml:space="preserve"> hits their </w:t>
      </w:r>
      <w:r>
        <w:rPr>
          <w:b/>
          <w:bCs/>
        </w:rPr>
        <w:t>10th strike</w:t>
      </w:r>
      <w:r>
        <w:rPr/>
        <w:t xml:space="preserve"> on May 20th.</w:t>
      </w:r>
    </w:p>
    <w:p>
      <w:pPr>
        <w:pStyle w:val="Normal"/>
        <w:numPr>
          <w:ilvl w:val="0"/>
          <w:numId w:val="6"/>
        </w:numPr>
        <w:spacing w:lineRule="auto" w:line="271"/>
        <w:rPr/>
      </w:pPr>
      <w:r>
        <w:rPr>
          <w:b/>
          <w:bCs/>
        </w:rPr>
        <w:t>The Logic:</w:t>
      </w:r>
      <w:r>
        <w:rPr/>
        <w:t xml:space="preserve"> 1. Immediately toggle status to </w:t>
      </w:r>
      <w:r>
        <w:rPr>
          <w:b/>
          <w:bCs/>
        </w:rPr>
        <w:t>"SUSPENDED"</w:t>
      </w:r>
      <w:r>
        <w:rPr/>
        <w:t xml:space="preserve"> (Inactive).  2. When the June 1st Cooldown job runs, it filters for WHERE status != 'SUSPENDED'.</w:t>
      </w:r>
    </w:p>
    <w:p>
      <w:pPr>
        <w:pStyle w:val="Normal"/>
        <w:numPr>
          <w:ilvl w:val="0"/>
          <w:numId w:val="6"/>
        </w:numPr>
        <w:spacing w:lineRule="auto" w:line="271"/>
        <w:rPr/>
      </w:pPr>
      <w:r>
        <w:rPr>
          <w:b/>
          <w:bCs/>
        </w:rPr>
        <w:t>Result:</w:t>
      </w:r>
      <w:r>
        <w:rPr/>
        <w:t xml:space="preserve"> Driver-C stays at 10 strikes, their rate remains penalized (or zeroed), and they are blocked from the fleet.</w:t>
      </w:r>
    </w:p>
    <w:p>
      <w:pPr>
        <w:pStyle w:val="Heading3"/>
        <w:spacing w:lineRule="auto" w:line="271" w:before="0" w:after="240"/>
        <w:ind w:hanging="0" w:left="0"/>
        <w:rPr/>
      </w:pPr>
      <w:r>
        <w:rPr/>
      </w:r>
      <w:bookmarkStart w:id="3" w:name="_um8e8kkq2zzu"/>
      <w:bookmarkStart w:id="4" w:name="_um8e8kkq2zzu"/>
      <w:bookmarkEnd w:id="4"/>
    </w:p>
    <w:p>
      <w:pPr>
        <w:pStyle w:val="Heading3"/>
        <w:spacing w:lineRule="auto" w:line="271" w:before="0" w:after="240"/>
        <w:ind w:hanging="0" w:left="0"/>
        <w:rPr/>
      </w:pPr>
      <w:r>
        <w:rPr/>
        <w:t>4. Technical Implementation Guidance for Developers</w:t>
      </w:r>
    </w:p>
    <w:p>
      <w:pPr>
        <w:pStyle w:val="Normal"/>
        <w:numPr>
          <w:ilvl w:val="0"/>
          <w:numId w:val="7"/>
        </w:numPr>
        <w:spacing w:lineRule="auto" w:line="271"/>
        <w:rPr/>
      </w:pPr>
      <w:r>
        <w:rPr>
          <w:b/>
          <w:bCs/>
        </w:rPr>
        <w:t>State Management:</w:t>
      </w:r>
      <w:r>
        <w:rPr/>
        <w:t xml:space="preserve"> Use a stateful streaming approach to keep an "active count" of strikes in memory or a fast-access DB (like Redis or DynamoDB) before flushing to the DWH.</w:t>
      </w:r>
    </w:p>
    <w:p>
      <w:pPr>
        <w:pStyle w:val="Normal"/>
        <w:numPr>
          <w:ilvl w:val="0"/>
          <w:numId w:val="7"/>
        </w:numPr>
        <w:spacing w:lineRule="auto" w:line="271"/>
        <w:rPr/>
      </w:pPr>
      <w:r>
        <w:rPr>
          <w:b/>
          <w:bCs/>
        </w:rPr>
        <w:t>Idempotency:</w:t>
      </w:r>
      <w:r>
        <w:rPr/>
        <w:t xml:space="preserve"> If the monthly cooldown job fails and restarts, it must not reset the same driver twice or accidentally reset a "SUSPENDED" driver.</w:t>
      </w:r>
    </w:p>
    <w:p>
      <w:pPr>
        <w:pStyle w:val="Normal"/>
        <w:numPr>
          <w:ilvl w:val="0"/>
          <w:numId w:val="7"/>
        </w:numPr>
        <w:spacing w:lineRule="auto" w:line="271"/>
        <w:rPr/>
      </w:pPr>
      <w:r>
        <w:rPr>
          <w:b/>
          <w:bCs/>
        </w:rPr>
        <w:t>Join Strategy:</w:t>
      </w:r>
      <w:r>
        <w:rPr/>
        <w:t xml:space="preserve"> In the stream, you must join the Kafka vin with the Asset History table to find the correct driver_id currently assigned to that vehicle.</w:t>
      </w:r>
    </w:p>
    <w:p>
      <w:pPr>
        <w:pStyle w:val="Normal"/>
        <w:spacing w:lineRule="auto" w:line="271"/>
        <w:rPr>
          <w:rFonts w:ascii="Google Sans" w:hAnsi="Google Sans" w:eastAsia="Google Sans" w:cs="Google Sans"/>
        </w:rPr>
      </w:pPr>
      <w:r>
        <w:rPr>
          <w:rFonts w:eastAsia="Google Sans" w:cs="Google Sans" w:ascii="Google Sans" w:hAnsi="Google Sans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  <w:embedItalic r:id="rId9" w:fontKey="{09014A78-CABC-4EF0-12AC-5CD89AEFDE09}"/>
  </w:font>
  <w:font w:name="Times New Roman">
    <w:charset w:val="01"/>
    <w:family w:val="roman"/>
    <w:pitch w:val="variable"/>
  </w:font>
  <w:font w:name="Google Sans">
    <w:charset w:val="01"/>
    <w:family w:val="roman"/>
    <w:pitch w:val="variable"/>
  </w:font>
  <w:font w:name="Segoe UI">
    <w:charset w:val="01"/>
    <w:family w:val="roman"/>
    <w:pitch w:val="variable"/>
    <w:embedRegular r:id="rId10" w:fontKey="{0A014A78-CABC-4EF0-12AC-5CD89AEFDE0A}"/>
    <w:embedBold r:id="rId11" w:fontKey="{0B014A78-CABC-4EF0-12AC-5CD89AEFDE0B}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2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0"/>
      </w:numP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numPr>
        <w:ilvl w:val="0"/>
        <w:numId w:val="0"/>
      </w:numP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numPr>
        <w:ilvl w:val="0"/>
        <w:numId w:val="0"/>
      </w:numP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numPr>
        <w:ilvl w:val="0"/>
        <w:numId w:val="0"/>
      </w:numP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0"/>
        <w:numId w:val="0"/>
      </w:num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qFormat/>
    <w:pPr>
      <w:numPr>
        <w:ilvl w:val="0"/>
        <w:numId w:val="0"/>
      </w:numPr>
      <w:spacing w:before="360" w:after="360"/>
      <w:outlineLvl w:val="5"/>
    </w:pPr>
    <w:rPr>
      <w:b/>
      <w:bCs/>
      <w:sz w:val="16"/>
      <w:szCs w:val="16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HTMLPreformattedChar">
    <w:name w:val="HTML Preformatted Char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8168</TotalTime>
  <Application>LibreOffice/24.2.7.2$Linux_X86_64 LibreOffice_project/420$Build-2</Application>
  <AppVersion>15.0000</AppVersion>
  <Pages>12</Pages>
  <Words>2323</Words>
  <Characters>13380</Characters>
  <CharactersWithSpaces>15359</CharactersWithSpaces>
  <Paragraphs>355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2026-04-15T09:17:00Z</dcterms:created>
  <dc:creator/>
  <dc:description/>
  <dc:language>en-US</dc:language>
  <cp:lastModifiedBy/>
  <dcterms:modified xsi:type="dcterms:W3CDTF">2026-04-29T15:09:12Z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